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FA" w:rsidRPr="00B7704E" w:rsidRDefault="007B5BFA" w:rsidP="00B9086E">
      <w:pPr>
        <w:rPr>
          <w:rFonts w:ascii="Calibri" w:hAnsi="Calibri" w:cs="Times New Roman"/>
          <w:b/>
          <w:sz w:val="24"/>
          <w:szCs w:val="24"/>
          <w:u w:val="single"/>
        </w:rPr>
      </w:pPr>
      <w:r w:rsidRPr="00B7704E">
        <w:rPr>
          <w:rFonts w:ascii="Calibri" w:hAnsi="Calibri" w:cs="Times New Roman"/>
          <w:b/>
          <w:sz w:val="24"/>
          <w:szCs w:val="24"/>
          <w:u w:val="single"/>
        </w:rPr>
        <w:t>Stručný obsah PKS ČD, a.s. na rok 201</w:t>
      </w:r>
      <w:r w:rsidR="001B2772" w:rsidRPr="00B7704E">
        <w:rPr>
          <w:rFonts w:ascii="Calibri" w:hAnsi="Calibri" w:cs="Times New Roman"/>
          <w:b/>
          <w:sz w:val="24"/>
          <w:szCs w:val="24"/>
          <w:u w:val="single"/>
        </w:rPr>
        <w:t>7 - s vyznačením změn proti PKS 2016 (tučné písmo)</w:t>
      </w:r>
    </w:p>
    <w:p w:rsidR="00E04FE5" w:rsidRPr="00B7704E" w:rsidRDefault="00E04FE5" w:rsidP="00B9086E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b/>
          <w:spacing w:val="-2"/>
          <w:sz w:val="24"/>
          <w:szCs w:val="24"/>
        </w:rPr>
        <w:t>Kapitola I.</w:t>
      </w:r>
      <w:r w:rsidR="00E22255" w:rsidRPr="00B7704E">
        <w:rPr>
          <w:rFonts w:ascii="Calibri" w:hAnsi="Calibri" w:cs="Times New Roman"/>
          <w:spacing w:val="-2"/>
          <w:sz w:val="24"/>
          <w:szCs w:val="24"/>
        </w:rPr>
        <w:t xml:space="preserve"> 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(Spolupráce s odborovými organizacemi):     </w:t>
      </w:r>
    </w:p>
    <w:p w:rsidR="007B5BFA" w:rsidRPr="00B7704E" w:rsidRDefault="00E04FE5" w:rsidP="00B9086E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Stejné jako v roce 201</w:t>
      </w:r>
      <w:r w:rsidR="001B2772" w:rsidRPr="00B7704E">
        <w:rPr>
          <w:rFonts w:ascii="Calibri" w:hAnsi="Calibri" w:cs="Times New Roman"/>
          <w:spacing w:val="-2"/>
          <w:sz w:val="24"/>
          <w:szCs w:val="24"/>
        </w:rPr>
        <w:t>6</w:t>
      </w:r>
    </w:p>
    <w:p w:rsidR="001B2772" w:rsidRPr="00B7704E" w:rsidRDefault="001B2772" w:rsidP="001B2772">
      <w:p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 xml:space="preserve">Kapitola obsahuje ustanovení o způsobu komunikace odborových organizací a zaměstnavatele, včetně lhůt na informování a projednávání materiálů majících dopad na zaměstnance. Rovněž se zde řeší odvod členských příspěvků a zajištění podmínek pro práci odborových orgánů. </w:t>
      </w:r>
    </w:p>
    <w:p w:rsidR="00E04FE5" w:rsidRPr="00B7704E" w:rsidRDefault="00E04FE5" w:rsidP="00B9086E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b/>
          <w:spacing w:val="-2"/>
          <w:sz w:val="24"/>
          <w:szCs w:val="24"/>
        </w:rPr>
        <w:t xml:space="preserve">Kapitola </w:t>
      </w:r>
      <w:r w:rsidR="006870E3" w:rsidRPr="00B7704E">
        <w:rPr>
          <w:rFonts w:ascii="Calibri" w:hAnsi="Calibri" w:cs="Times New Roman"/>
          <w:b/>
          <w:spacing w:val="-2"/>
          <w:sz w:val="24"/>
          <w:szCs w:val="24"/>
        </w:rPr>
        <w:t>II.</w:t>
      </w:r>
      <w:r w:rsidR="006870E3" w:rsidRPr="00B7704E">
        <w:rPr>
          <w:rFonts w:ascii="Calibri" w:hAnsi="Calibri" w:cs="Times New Roman"/>
          <w:spacing w:val="-2"/>
          <w:sz w:val="24"/>
          <w:szCs w:val="24"/>
        </w:rPr>
        <w:t xml:space="preserve"> (BOZP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, sociální oblast, zaměstnanecké výhody):  </w:t>
      </w:r>
    </w:p>
    <w:p w:rsidR="00E04FE5" w:rsidRPr="00B7704E" w:rsidRDefault="00E04FE5" w:rsidP="00B9086E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Stejné jako v roce 201</w:t>
      </w:r>
      <w:r w:rsidR="00581DA3" w:rsidRPr="00B7704E">
        <w:rPr>
          <w:rFonts w:ascii="Calibri" w:hAnsi="Calibri" w:cs="Times New Roman"/>
          <w:spacing w:val="-2"/>
          <w:sz w:val="24"/>
          <w:szCs w:val="24"/>
        </w:rPr>
        <w:t>6</w:t>
      </w:r>
    </w:p>
    <w:p w:rsidR="00581DA3" w:rsidRPr="00B7704E" w:rsidRDefault="001B2772" w:rsidP="00581DA3">
      <w:p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  <w:u w:val="single"/>
        </w:rPr>
        <w:t>BOZP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</w:t>
      </w:r>
      <w:r w:rsidR="00581DA3" w:rsidRPr="00B7704E">
        <w:rPr>
          <w:rFonts w:ascii="Calibri" w:hAnsi="Calibri" w:cs="Times New Roman"/>
          <w:spacing w:val="-2"/>
          <w:sz w:val="24"/>
          <w:szCs w:val="24"/>
        </w:rPr>
        <w:t xml:space="preserve">- opět byla vyčleněna částka 32 milionů Kč na zlepšení pracovních a sociálních  podmínek                                                                                                                                            zaměstnanců. O konkrétním použití částky ve výši 25 milionů bude rozhodovat pracovní skupina složená ze zástupců smluvních stran na centrální úrovni. Zbývajících 7 milionů je v rozhodovací pravomoci jednotlivých OS. </w:t>
      </w:r>
    </w:p>
    <w:p w:rsidR="004713BD" w:rsidRPr="00B7704E" w:rsidRDefault="004713BD" w:rsidP="00581DA3">
      <w:p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V této souvislosti připomínáme, že ještě v závěru roku 2016 měly OS k </w:t>
      </w:r>
      <w:r w:rsidR="009731BD" w:rsidRPr="00B7704E">
        <w:rPr>
          <w:rFonts w:ascii="Calibri" w:hAnsi="Calibri" w:cs="Times New Roman"/>
          <w:spacing w:val="-2"/>
          <w:sz w:val="24"/>
          <w:szCs w:val="24"/>
        </w:rPr>
        <w:t>použití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částku ve výši cca. 50 mil. Kč na </w:t>
      </w:r>
      <w:r w:rsidR="009731BD" w:rsidRPr="00B7704E">
        <w:rPr>
          <w:rFonts w:ascii="Calibri" w:hAnsi="Calibri" w:cs="Times New Roman"/>
          <w:spacing w:val="-2"/>
          <w:sz w:val="24"/>
          <w:szCs w:val="24"/>
        </w:rPr>
        <w:t>zlepšení a udržení kvality sociálního zázemí pracovišť. Částka byla vyčleněna z prostředků získaných prodejem části závodu.</w:t>
      </w:r>
    </w:p>
    <w:p w:rsidR="00581DA3" w:rsidRPr="00B7704E" w:rsidRDefault="00581DA3" w:rsidP="00581DA3">
      <w:p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  <w:u w:val="single"/>
        </w:rPr>
        <w:t xml:space="preserve">Pracovní podmínky </w:t>
      </w:r>
      <w:r w:rsidR="00FF2CEE" w:rsidRPr="00B7704E">
        <w:rPr>
          <w:rFonts w:ascii="Calibri" w:hAnsi="Calibri" w:cs="Times New Roman"/>
          <w:spacing w:val="-2"/>
          <w:sz w:val="24"/>
          <w:szCs w:val="24"/>
        </w:rPr>
        <w:t>– zde jsou obsahem ujednání o zabezpečení vhodných místností pro odpočinek zaměstnanců při dělených směnách, včetně vybavení těchto místností. Dále tato kapitola řeší podmínky pro poskytnutí odpočinku na lůžku při „špatných“ nástupech a koncích směn.</w:t>
      </w:r>
    </w:p>
    <w:p w:rsidR="00986799" w:rsidRPr="00B7704E" w:rsidRDefault="00986799" w:rsidP="00581DA3">
      <w:pPr>
        <w:jc w:val="both"/>
        <w:rPr>
          <w:rFonts w:ascii="Calibri" w:hAnsi="Calibri" w:cs="Times New Roman"/>
          <w:spacing w:val="-2"/>
          <w:sz w:val="24"/>
          <w:szCs w:val="24"/>
          <w:u w:val="single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Další ustanovení:</w:t>
      </w:r>
    </w:p>
    <w:p w:rsidR="00581DA3" w:rsidRPr="00B7704E" w:rsidRDefault="00FF2CEE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OOPP, mycí, čistící a desinfekční</w:t>
      </w:r>
      <w:r w:rsidR="00986799" w:rsidRPr="00B7704E">
        <w:rPr>
          <w:rFonts w:ascii="Calibri" w:hAnsi="Calibri" w:cs="Times New Roman"/>
          <w:spacing w:val="-2"/>
          <w:sz w:val="24"/>
          <w:szCs w:val="24"/>
        </w:rPr>
        <w:t xml:space="preserve"> prostředky a ochranné nápoje</w:t>
      </w:r>
    </w:p>
    <w:p w:rsidR="00986799" w:rsidRPr="00B7704E" w:rsidRDefault="00986799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zdravotní a sociální zabezpečení</w:t>
      </w:r>
    </w:p>
    <w:p w:rsidR="00986799" w:rsidRPr="00B7704E" w:rsidRDefault="00986799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péče o vybrané skupiny zaměstnanců</w:t>
      </w:r>
    </w:p>
    <w:p w:rsidR="00986799" w:rsidRPr="00B7704E" w:rsidRDefault="00986799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kondiční pobyty (více v příloze č. 4 PKS)</w:t>
      </w:r>
    </w:p>
    <w:p w:rsidR="00986799" w:rsidRPr="00B7704E" w:rsidRDefault="00986799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zaměstnanecké jízdní výhody (</w:t>
      </w:r>
      <w:r w:rsidR="004713BD" w:rsidRPr="00B7704E">
        <w:rPr>
          <w:rFonts w:ascii="Calibri" w:hAnsi="Calibri" w:cs="Times New Roman"/>
          <w:spacing w:val="-2"/>
          <w:sz w:val="24"/>
          <w:szCs w:val="24"/>
        </w:rPr>
        <w:t xml:space="preserve">více v </w:t>
      </w:r>
      <w:r w:rsidRPr="00B7704E">
        <w:rPr>
          <w:rFonts w:ascii="Calibri" w:hAnsi="Calibri" w:cs="Times New Roman"/>
          <w:spacing w:val="-2"/>
          <w:sz w:val="24"/>
          <w:szCs w:val="24"/>
        </w:rPr>
        <w:t>předpis</w:t>
      </w:r>
      <w:r w:rsidR="004713BD" w:rsidRPr="00B7704E">
        <w:rPr>
          <w:rFonts w:ascii="Calibri" w:hAnsi="Calibri" w:cs="Times New Roman"/>
          <w:spacing w:val="-2"/>
          <w:sz w:val="24"/>
          <w:szCs w:val="24"/>
        </w:rPr>
        <w:t>ech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Ok 9, Ok 10 a Ok 12)</w:t>
      </w:r>
    </w:p>
    <w:p w:rsidR="004713BD" w:rsidRPr="00B7704E" w:rsidRDefault="004713BD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sociální fond (viz Zásady hospodaření se SF č. j. 58711/2016 – O 10)</w:t>
      </w:r>
    </w:p>
    <w:p w:rsidR="009731BD" w:rsidRPr="00B7704E" w:rsidRDefault="00162D58" w:rsidP="00986799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další zaměstnanecké výhody (</w:t>
      </w:r>
      <w:r w:rsidR="009731BD" w:rsidRPr="00B7704E">
        <w:rPr>
          <w:rFonts w:ascii="Calibri" w:hAnsi="Calibri" w:cs="Times New Roman"/>
          <w:spacing w:val="-2"/>
          <w:sz w:val="24"/>
          <w:szCs w:val="24"/>
        </w:rPr>
        <w:t>penzijní a životní pojištění, úschova kol a parkovací místa)</w:t>
      </w:r>
    </w:p>
    <w:p w:rsidR="00E04FE5" w:rsidRPr="00B7704E" w:rsidRDefault="00E04FE5" w:rsidP="00581DA3">
      <w:pPr>
        <w:jc w:val="both"/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b/>
          <w:spacing w:val="-2"/>
          <w:sz w:val="24"/>
          <w:szCs w:val="24"/>
        </w:rPr>
        <w:t>Kapitola III.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(Zaměstnanost a mzdová politika) :              </w:t>
      </w:r>
    </w:p>
    <w:p w:rsidR="009731BD" w:rsidRPr="00B7704E" w:rsidRDefault="00E04FE5" w:rsidP="00E04FE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Prakticky stejné jako v roce 201</w:t>
      </w:r>
      <w:r w:rsidR="004713BD" w:rsidRPr="00B7704E">
        <w:rPr>
          <w:rFonts w:ascii="Calibri" w:hAnsi="Calibri" w:cs="Times New Roman"/>
          <w:spacing w:val="-2"/>
          <w:sz w:val="24"/>
          <w:szCs w:val="24"/>
        </w:rPr>
        <w:t>6</w:t>
      </w:r>
    </w:p>
    <w:p w:rsidR="009731BD" w:rsidRPr="00B7704E" w:rsidRDefault="009731BD" w:rsidP="00E04FE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Řeší:</w:t>
      </w:r>
    </w:p>
    <w:p w:rsidR="001C079D" w:rsidRPr="00B7704E" w:rsidRDefault="009731BD" w:rsidP="001C079D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poradenskou činnost pro zaměstnance dotčené nebo ohrožené výpovědí</w:t>
      </w:r>
    </w:p>
    <w:p w:rsidR="001C079D" w:rsidRPr="00B7704E" w:rsidRDefault="001C079D" w:rsidP="001C079D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opatření pro zmírnění nepříznivých důsledků snižování počtu zaměstnanců</w:t>
      </w:r>
    </w:p>
    <w:p w:rsidR="001C079D" w:rsidRPr="00B7704E" w:rsidRDefault="001C079D" w:rsidP="001C079D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rozsah poskytnutí pracovního volna na vyhledání nového zaměstnání</w:t>
      </w:r>
    </w:p>
    <w:p w:rsidR="001C079D" w:rsidRPr="00B7704E" w:rsidRDefault="001C079D" w:rsidP="001C079D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 xml:space="preserve">podmínky pro zápočet nepřetržitého pracovního poměru při přechodu zaměstnání ve skupině ČD a SŽDC a další ustanovení vedoucí ke zmírnění případných negativních dopadů </w:t>
      </w:r>
    </w:p>
    <w:p w:rsidR="005E6036" w:rsidRPr="00B7704E" w:rsidRDefault="001C079D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základní principy odměňování (rozpočet mzdových prostředků, způsob odměňování</w:t>
      </w:r>
      <w:r w:rsidR="005E6036" w:rsidRPr="00B7704E">
        <w:rPr>
          <w:rFonts w:ascii="Calibri" w:hAnsi="Calibri" w:cs="Times New Roman"/>
          <w:spacing w:val="-2"/>
          <w:sz w:val="24"/>
          <w:szCs w:val="24"/>
        </w:rPr>
        <w:t xml:space="preserve"> a výši odstupného</w:t>
      </w:r>
    </w:p>
    <w:p w:rsidR="00AC70D5" w:rsidRPr="00B7704E" w:rsidRDefault="00E04FE5" w:rsidP="00B9086E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b/>
          <w:spacing w:val="-2"/>
          <w:sz w:val="24"/>
          <w:szCs w:val="24"/>
        </w:rPr>
        <w:lastRenderedPageBreak/>
        <w:t>Kapitola IV.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(Pracovní doba</w:t>
      </w:r>
      <w:r w:rsidR="005E6036" w:rsidRPr="00B7704E">
        <w:rPr>
          <w:rFonts w:ascii="Calibri" w:hAnsi="Calibri" w:cs="Times New Roman"/>
          <w:spacing w:val="-2"/>
          <w:sz w:val="24"/>
          <w:szCs w:val="24"/>
        </w:rPr>
        <w:t xml:space="preserve"> - komplexně</w:t>
      </w:r>
      <w:r w:rsidR="00B5393E" w:rsidRPr="00B7704E">
        <w:rPr>
          <w:rFonts w:ascii="Calibri" w:hAnsi="Calibri" w:cs="Times New Roman"/>
          <w:spacing w:val="-2"/>
          <w:sz w:val="24"/>
          <w:szCs w:val="24"/>
        </w:rPr>
        <w:t>ji</w:t>
      </w:r>
      <w:r w:rsidR="005E6036" w:rsidRPr="00B7704E">
        <w:rPr>
          <w:rFonts w:ascii="Calibri" w:hAnsi="Calibri" w:cs="Times New Roman"/>
          <w:spacing w:val="-2"/>
          <w:sz w:val="24"/>
          <w:szCs w:val="24"/>
        </w:rPr>
        <w:t xml:space="preserve"> je řešena v příloze č. 1 této PKS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) </w:t>
      </w:r>
    </w:p>
    <w:p w:rsidR="005E6036" w:rsidRPr="00B7704E" w:rsidRDefault="00E04FE5" w:rsidP="00AC70D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 xml:space="preserve"> </w:t>
      </w:r>
      <w:r w:rsidR="00B5393E" w:rsidRPr="00B7704E">
        <w:rPr>
          <w:rFonts w:ascii="Calibri" w:hAnsi="Calibri" w:cs="Times New Roman"/>
          <w:spacing w:val="-2"/>
          <w:sz w:val="24"/>
          <w:szCs w:val="24"/>
        </w:rPr>
        <w:t>S</w:t>
      </w:r>
      <w:r w:rsidR="00AC70D5" w:rsidRPr="00B7704E">
        <w:rPr>
          <w:rFonts w:ascii="Calibri" w:hAnsi="Calibri" w:cs="Times New Roman"/>
          <w:spacing w:val="-2"/>
          <w:sz w:val="24"/>
          <w:szCs w:val="24"/>
        </w:rPr>
        <w:t>tejné jako v roce 201</w:t>
      </w:r>
      <w:r w:rsidR="005E6036" w:rsidRPr="00B7704E">
        <w:rPr>
          <w:rFonts w:ascii="Calibri" w:hAnsi="Calibri" w:cs="Times New Roman"/>
          <w:spacing w:val="-2"/>
          <w:sz w:val="24"/>
          <w:szCs w:val="24"/>
        </w:rPr>
        <w:t xml:space="preserve">6 </w:t>
      </w:r>
    </w:p>
    <w:p w:rsidR="005E6036" w:rsidRPr="00B7704E" w:rsidRDefault="005E6036" w:rsidP="00AC70D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Řeší:</w:t>
      </w:r>
    </w:p>
    <w:p w:rsidR="005E6036" w:rsidRPr="00B7704E" w:rsidRDefault="005E6036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překážky v práci z důvodu obecného zájmu (rozsah a podmínky poskytnutí)</w:t>
      </w:r>
    </w:p>
    <w:p w:rsidR="005E6036" w:rsidRPr="00B7704E" w:rsidRDefault="005E6036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TDM a LOP spoluorganizované zaměstnavatelem</w:t>
      </w:r>
    </w:p>
    <w:p w:rsidR="005E6036" w:rsidRPr="00B7704E" w:rsidRDefault="005E6036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TDM a LOP spoluorganizované mimo ČD</w:t>
      </w:r>
    </w:p>
    <w:p w:rsidR="005E6036" w:rsidRPr="00B7704E" w:rsidRDefault="005E6036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 xml:space="preserve">důležité osobní překážky v práci (např. úmrtí v rodině, </w:t>
      </w:r>
      <w:r w:rsidR="00B5393E" w:rsidRPr="00B7704E">
        <w:rPr>
          <w:rFonts w:ascii="Calibri" w:hAnsi="Calibri" w:cs="Times New Roman"/>
          <w:spacing w:val="-2"/>
          <w:sz w:val="24"/>
          <w:szCs w:val="24"/>
        </w:rPr>
        <w:t>péče o dítě mladší 15 let, při osobní účasti u mimořádných událostí, nemožnosti dostavit se do zaměstnání apod.)</w:t>
      </w:r>
    </w:p>
    <w:p w:rsidR="00AC70D5" w:rsidRPr="00B7704E" w:rsidRDefault="00AC70D5" w:rsidP="00AC70D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b/>
          <w:spacing w:val="-2"/>
          <w:sz w:val="24"/>
          <w:szCs w:val="24"/>
        </w:rPr>
        <w:t>Kapitola V.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(Všeobecná ustanovení) </w:t>
      </w:r>
    </w:p>
    <w:p w:rsidR="00AC70D5" w:rsidRPr="00B7704E" w:rsidRDefault="00AC70D5" w:rsidP="00AC70D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Stejné jako v roce 201</w:t>
      </w:r>
      <w:r w:rsidR="00B5393E" w:rsidRPr="00B7704E">
        <w:rPr>
          <w:rFonts w:ascii="Calibri" w:hAnsi="Calibri" w:cs="Times New Roman"/>
          <w:spacing w:val="-2"/>
          <w:sz w:val="24"/>
          <w:szCs w:val="24"/>
        </w:rPr>
        <w:t>6</w:t>
      </w:r>
    </w:p>
    <w:p w:rsidR="00AC70D5" w:rsidRPr="00B7704E" w:rsidRDefault="00AC70D5" w:rsidP="00AC70D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b/>
          <w:spacing w:val="-2"/>
          <w:sz w:val="24"/>
          <w:szCs w:val="24"/>
        </w:rPr>
        <w:t>Kapitola VI.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(Platnost PKS) </w:t>
      </w:r>
    </w:p>
    <w:p w:rsidR="00AC70D5" w:rsidRPr="00B7704E" w:rsidRDefault="00AC70D5" w:rsidP="00AC70D5">
      <w:pPr>
        <w:rPr>
          <w:rFonts w:ascii="Calibri" w:hAnsi="Calibri" w:cs="Times New Roman"/>
          <w:spacing w:val="-2"/>
          <w:sz w:val="24"/>
          <w:szCs w:val="24"/>
        </w:rPr>
      </w:pPr>
      <w:r w:rsidRPr="00B7704E">
        <w:rPr>
          <w:rFonts w:ascii="Calibri" w:hAnsi="Calibri" w:cs="Times New Roman"/>
          <w:spacing w:val="-2"/>
          <w:sz w:val="24"/>
          <w:szCs w:val="24"/>
        </w:rPr>
        <w:t>Od 1.</w:t>
      </w:r>
      <w:r w:rsidR="00162D58" w:rsidRPr="00B7704E">
        <w:rPr>
          <w:rFonts w:ascii="Calibri" w:hAnsi="Calibri" w:cs="Times New Roman"/>
          <w:spacing w:val="-2"/>
          <w:sz w:val="24"/>
          <w:szCs w:val="24"/>
        </w:rPr>
        <w:t xml:space="preserve"> </w:t>
      </w:r>
      <w:r w:rsidRPr="00B7704E">
        <w:rPr>
          <w:rFonts w:ascii="Calibri" w:hAnsi="Calibri" w:cs="Times New Roman"/>
          <w:spacing w:val="-2"/>
          <w:sz w:val="24"/>
          <w:szCs w:val="24"/>
        </w:rPr>
        <w:t>1.</w:t>
      </w:r>
      <w:r w:rsidR="00162D58" w:rsidRPr="00B7704E">
        <w:rPr>
          <w:rFonts w:ascii="Calibri" w:hAnsi="Calibri" w:cs="Times New Roman"/>
          <w:spacing w:val="-2"/>
          <w:sz w:val="24"/>
          <w:szCs w:val="24"/>
        </w:rPr>
        <w:t xml:space="preserve"> </w:t>
      </w:r>
      <w:r w:rsidRPr="00B7704E">
        <w:rPr>
          <w:rFonts w:ascii="Calibri" w:hAnsi="Calibri" w:cs="Times New Roman"/>
          <w:spacing w:val="-2"/>
          <w:sz w:val="24"/>
          <w:szCs w:val="24"/>
        </w:rPr>
        <w:t>201</w:t>
      </w:r>
      <w:r w:rsidR="00B5393E" w:rsidRPr="00B7704E">
        <w:rPr>
          <w:rFonts w:ascii="Calibri" w:hAnsi="Calibri" w:cs="Times New Roman"/>
          <w:spacing w:val="-2"/>
          <w:sz w:val="24"/>
          <w:szCs w:val="24"/>
        </w:rPr>
        <w:t>7</w:t>
      </w:r>
      <w:r w:rsidRPr="00B7704E">
        <w:rPr>
          <w:rFonts w:ascii="Calibri" w:hAnsi="Calibri" w:cs="Times New Roman"/>
          <w:spacing w:val="-2"/>
          <w:sz w:val="24"/>
          <w:szCs w:val="24"/>
        </w:rPr>
        <w:t xml:space="preserve"> – </w:t>
      </w:r>
      <w:r w:rsidR="00C70787" w:rsidRPr="00B7704E">
        <w:rPr>
          <w:rFonts w:ascii="Calibri" w:hAnsi="Calibri" w:cs="Times New Roman"/>
          <w:spacing w:val="-2"/>
          <w:sz w:val="24"/>
          <w:szCs w:val="24"/>
        </w:rPr>
        <w:t>31. 12. 201</w:t>
      </w:r>
      <w:r w:rsidR="00B5393E" w:rsidRPr="00B7704E">
        <w:rPr>
          <w:rFonts w:ascii="Calibri" w:hAnsi="Calibri" w:cs="Times New Roman"/>
          <w:spacing w:val="-2"/>
          <w:sz w:val="24"/>
          <w:szCs w:val="24"/>
        </w:rPr>
        <w:t>7</w:t>
      </w:r>
    </w:p>
    <w:p w:rsidR="00850298" w:rsidRDefault="00850298" w:rsidP="00AC70D5">
      <w:pPr>
        <w:rPr>
          <w:rFonts w:ascii="Calibri" w:hAnsi="Calibri" w:cs="Times New Roman"/>
          <w:b/>
          <w:i/>
          <w:spacing w:val="-2"/>
          <w:sz w:val="24"/>
          <w:szCs w:val="24"/>
        </w:rPr>
      </w:pPr>
    </w:p>
    <w:p w:rsidR="00AC70D5" w:rsidRPr="00B7704E" w:rsidRDefault="00AC70D5" w:rsidP="00AC70D5">
      <w:pPr>
        <w:rPr>
          <w:rFonts w:ascii="Calibri" w:hAnsi="Calibri" w:cs="Times New Roman"/>
          <w:spacing w:val="-20"/>
          <w:sz w:val="24"/>
          <w:szCs w:val="24"/>
          <w:u w:val="single"/>
        </w:rPr>
      </w:pPr>
      <w:r w:rsidRPr="00B7704E">
        <w:rPr>
          <w:rFonts w:ascii="Calibri" w:hAnsi="Calibri" w:cs="Times New Roman"/>
          <w:b/>
          <w:i/>
          <w:spacing w:val="-2"/>
          <w:sz w:val="24"/>
          <w:szCs w:val="24"/>
        </w:rPr>
        <w:t>Příloha 1 (Pracovní doba</w:t>
      </w:r>
      <w:r w:rsidRPr="00B7704E">
        <w:rPr>
          <w:rFonts w:ascii="Calibri" w:hAnsi="Calibri" w:cs="Times New Roman"/>
          <w:b/>
          <w:i/>
          <w:spacing w:val="-20"/>
          <w:sz w:val="24"/>
          <w:szCs w:val="24"/>
        </w:rPr>
        <w:t>, pracovní pohotovost a dovolená</w:t>
      </w:r>
      <w:r w:rsidRPr="00B7704E">
        <w:rPr>
          <w:rFonts w:ascii="Calibri" w:hAnsi="Calibri" w:cs="Times New Roman"/>
          <w:spacing w:val="-20"/>
          <w:sz w:val="24"/>
          <w:szCs w:val="24"/>
          <w:u w:val="single"/>
        </w:rPr>
        <w:t>)</w:t>
      </w:r>
    </w:p>
    <w:p w:rsidR="00AC70D5" w:rsidRPr="00B7704E" w:rsidRDefault="00B63F43" w:rsidP="00AC70D5">
      <w:p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Obdobné</w:t>
      </w:r>
      <w:r w:rsidR="00AC70D5" w:rsidRPr="00B7704E">
        <w:rPr>
          <w:rFonts w:ascii="Calibri" w:hAnsi="Calibri" w:cs="Times New Roman"/>
          <w:spacing w:val="-20"/>
          <w:sz w:val="24"/>
          <w:szCs w:val="24"/>
        </w:rPr>
        <w:t xml:space="preserve"> jako v roce 201</w:t>
      </w:r>
      <w:r w:rsidR="00B5393E" w:rsidRPr="00B7704E">
        <w:rPr>
          <w:rFonts w:ascii="Calibri" w:hAnsi="Calibri" w:cs="Times New Roman"/>
          <w:spacing w:val="-20"/>
          <w:sz w:val="24"/>
          <w:szCs w:val="24"/>
        </w:rPr>
        <w:t>6</w:t>
      </w:r>
    </w:p>
    <w:p w:rsidR="00224080" w:rsidRPr="00B7704E" w:rsidRDefault="00224080" w:rsidP="00AC70D5">
      <w:p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 xml:space="preserve">Řeší: </w:t>
      </w:r>
    </w:p>
    <w:p w:rsidR="00224080" w:rsidRPr="00B7704E" w:rsidRDefault="00224080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vymezení pojmů</w:t>
      </w:r>
    </w:p>
    <w:p w:rsidR="00224080" w:rsidRPr="00B7704E" w:rsidRDefault="00224080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stanovená týdenní pracovní doba</w:t>
      </w:r>
      <w:r w:rsidR="00406168" w:rsidRPr="00B7704E">
        <w:rPr>
          <w:rFonts w:ascii="Calibri" w:hAnsi="Calibri" w:cs="Times New Roman"/>
          <w:spacing w:val="-20"/>
          <w:sz w:val="24"/>
          <w:szCs w:val="24"/>
        </w:rPr>
        <w:t xml:space="preserve"> (</w:t>
      </w:r>
      <w:r w:rsidR="00406168" w:rsidRPr="00B7704E">
        <w:rPr>
          <w:rFonts w:ascii="Calibri" w:hAnsi="Calibri" w:cs="Times New Roman"/>
          <w:b/>
          <w:spacing w:val="-20"/>
          <w:sz w:val="24"/>
          <w:szCs w:val="24"/>
        </w:rPr>
        <w:t xml:space="preserve">došlo k úpravě </w:t>
      </w:r>
      <w:r w:rsidR="00162D58" w:rsidRPr="00B7704E">
        <w:rPr>
          <w:rFonts w:ascii="Calibri" w:hAnsi="Calibri" w:cs="Times New Roman"/>
          <w:b/>
          <w:spacing w:val="-20"/>
          <w:sz w:val="24"/>
          <w:szCs w:val="24"/>
        </w:rPr>
        <w:t xml:space="preserve">názvů </w:t>
      </w:r>
      <w:r w:rsidR="00406168" w:rsidRPr="00B7704E">
        <w:rPr>
          <w:rFonts w:ascii="Calibri" w:hAnsi="Calibri" w:cs="Times New Roman"/>
          <w:b/>
          <w:spacing w:val="-20"/>
          <w:sz w:val="24"/>
          <w:szCs w:val="24"/>
        </w:rPr>
        <w:t>některých povolání dle novely Katalogu prací)</w:t>
      </w:r>
    </w:p>
    <w:p w:rsidR="00406168" w:rsidRPr="00B7704E" w:rsidRDefault="0040616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rozvržení pracovní doby</w:t>
      </w:r>
      <w:r w:rsidR="00162D58" w:rsidRPr="00B7704E">
        <w:rPr>
          <w:rFonts w:ascii="Calibri" w:hAnsi="Calibri" w:cs="Times New Roman"/>
          <w:spacing w:val="-20"/>
          <w:sz w:val="24"/>
          <w:szCs w:val="24"/>
        </w:rPr>
        <w:t xml:space="preserve"> (stanovení vyrovnávacích období – </w:t>
      </w:r>
      <w:r w:rsidR="00162D58" w:rsidRPr="00B7704E">
        <w:rPr>
          <w:rFonts w:ascii="Calibri" w:hAnsi="Calibri" w:cs="Times New Roman"/>
          <w:b/>
          <w:spacing w:val="-20"/>
          <w:sz w:val="24"/>
          <w:szCs w:val="24"/>
        </w:rPr>
        <w:t>nově lze použít vyrovnávací období stanovené v e druhém odseku i pro zaměstnance správkáren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přestávky na jídlo a oddech, přiměřené doby na oddech a jídlo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práce přesčas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dělená směna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noční práce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pracovní doba v zúčtovacím období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 xml:space="preserve">směna </w:t>
      </w:r>
      <w:r w:rsidRPr="00B7704E">
        <w:rPr>
          <w:rFonts w:ascii="Calibri" w:hAnsi="Calibri" w:cs="Times New Roman"/>
          <w:b/>
          <w:spacing w:val="-20"/>
          <w:sz w:val="24"/>
          <w:szCs w:val="24"/>
        </w:rPr>
        <w:t>(nově zavedena možnost požádat o vystřídání</w:t>
      </w:r>
      <w:r w:rsidRPr="00B7704E">
        <w:rPr>
          <w:rFonts w:ascii="Calibri" w:hAnsi="Calibri" w:cs="Times New Roman"/>
          <w:spacing w:val="-20"/>
          <w:sz w:val="24"/>
          <w:szCs w:val="24"/>
        </w:rPr>
        <w:t xml:space="preserve"> </w:t>
      </w:r>
      <w:r w:rsidRPr="00B7704E">
        <w:rPr>
          <w:rFonts w:ascii="Calibri" w:hAnsi="Calibri" w:cs="Times New Roman"/>
          <w:b/>
          <w:spacing w:val="-20"/>
          <w:sz w:val="24"/>
          <w:szCs w:val="24"/>
        </w:rPr>
        <w:t>zaměstnance vlakové čety po uplynutí 13 hodin od nástupu na směnu při zpoždění vlaku více než 120 minut a předpokladu nesplnění max. přípustné délky směny z PKS</w:t>
      </w:r>
    </w:p>
    <w:p w:rsidR="00162D58" w:rsidRPr="00B7704E" w:rsidRDefault="00162D58" w:rsidP="00224080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nepřetržitý odpočinek mezi dvěma směnami</w:t>
      </w:r>
    </w:p>
    <w:p w:rsidR="00432582" w:rsidRPr="00B7704E" w:rsidRDefault="00162D5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 xml:space="preserve">nepřetržitý odpočinek </w:t>
      </w:r>
      <w:r w:rsidR="00432582" w:rsidRPr="00B7704E">
        <w:rPr>
          <w:rFonts w:ascii="Calibri" w:hAnsi="Calibri" w:cs="Times New Roman"/>
          <w:spacing w:val="-20"/>
          <w:sz w:val="24"/>
          <w:szCs w:val="24"/>
        </w:rPr>
        <w:t>v týdnu</w:t>
      </w:r>
    </w:p>
    <w:p w:rsidR="00432582" w:rsidRPr="00B7704E" w:rsidRDefault="00432582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režijní jízda</w:t>
      </w:r>
    </w:p>
    <w:p w:rsidR="00432582" w:rsidRPr="00B7704E" w:rsidRDefault="00432582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přípravné práce, přípravné a odstavné doby </w:t>
      </w:r>
      <w:r w:rsidRPr="00B7704E">
        <w:rPr>
          <w:rFonts w:ascii="Calibri" w:hAnsi="Calibri" w:cs="Times New Roman"/>
          <w:b/>
          <w:sz w:val="24"/>
          <w:szCs w:val="24"/>
        </w:rPr>
        <w:t>(v bodě 2, druhém odstavci, posledním odseku byla zvýšena přípravná doba až na 20 minut)</w:t>
      </w:r>
    </w:p>
    <w:p w:rsidR="00432582" w:rsidRPr="00B7704E" w:rsidRDefault="00432582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střežení pracoviště</w:t>
      </w:r>
    </w:p>
    <w:p w:rsidR="00432582" w:rsidRPr="00B7704E" w:rsidRDefault="00432582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pracovní pohotovost</w:t>
      </w:r>
    </w:p>
    <w:p w:rsidR="00432582" w:rsidRPr="00B7704E" w:rsidRDefault="00432582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dovolená  </w:t>
      </w:r>
    </w:p>
    <w:p w:rsidR="00E22255" w:rsidRPr="00B7704E" w:rsidRDefault="00E22255" w:rsidP="00AC70D5">
      <w:pPr>
        <w:rPr>
          <w:rFonts w:ascii="Calibri" w:hAnsi="Calibri" w:cs="Times New Roman"/>
          <w:sz w:val="24"/>
          <w:szCs w:val="24"/>
        </w:rPr>
      </w:pPr>
    </w:p>
    <w:p w:rsidR="00432582" w:rsidRPr="00B7704E" w:rsidRDefault="00432582" w:rsidP="00432582">
      <w:pPr>
        <w:rPr>
          <w:rFonts w:ascii="Calibri" w:hAnsi="Calibri" w:cs="Times New Roman"/>
          <w:spacing w:val="-20"/>
          <w:sz w:val="24"/>
          <w:szCs w:val="24"/>
          <w:u w:val="single"/>
        </w:rPr>
      </w:pPr>
      <w:r w:rsidRPr="00B7704E">
        <w:rPr>
          <w:rFonts w:ascii="Calibri" w:hAnsi="Calibri" w:cs="Times New Roman"/>
          <w:b/>
          <w:i/>
          <w:spacing w:val="-2"/>
          <w:sz w:val="24"/>
          <w:szCs w:val="24"/>
        </w:rPr>
        <w:lastRenderedPageBreak/>
        <w:t>Příloha 2 (Řád pro odměňování zaměstnanců ČD</w:t>
      </w:r>
      <w:r w:rsidRPr="00B7704E">
        <w:rPr>
          <w:rFonts w:ascii="Calibri" w:hAnsi="Calibri" w:cs="Times New Roman"/>
          <w:spacing w:val="-20"/>
          <w:sz w:val="24"/>
          <w:szCs w:val="24"/>
          <w:u w:val="single"/>
        </w:rPr>
        <w:t>)</w:t>
      </w:r>
    </w:p>
    <w:p w:rsidR="00432582" w:rsidRPr="00B7704E" w:rsidRDefault="00432582" w:rsidP="00432582">
      <w:p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Obdobné jako v roce 2016</w:t>
      </w:r>
    </w:p>
    <w:p w:rsidR="00432582" w:rsidRPr="00B7704E" w:rsidRDefault="00432582" w:rsidP="00432582">
      <w:p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Řeší: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rozsah platnosti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obecná ustanovení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tarifní zařazení a odměňování při výkonu různě tarifně zařazené práce v rámci povolání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tarifní mzda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příplatek za praxi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odměny z dohod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odměny za zabránění úniku tržeb</w:t>
      </w:r>
    </w:p>
    <w:p w:rsidR="00432582" w:rsidRPr="00B7704E" w:rsidRDefault="00432582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smlouvy o mzdě</w:t>
      </w:r>
    </w:p>
    <w:p w:rsidR="00432582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formy mzdy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odměňování některých skupin zaměstnanců v období přípravy na výkon povolání (výcvik)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příplatek za zaškolování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mzda za práci přesčas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mzda a náhrada mzdy za svátek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příplatek za práci v noci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příplatek za práci o sobotách a nedělích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příplatek za práci dělené směně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příplatek za režim práce</w:t>
      </w:r>
    </w:p>
    <w:p w:rsidR="001D26A8" w:rsidRPr="00B7704E" w:rsidRDefault="001D26A8" w:rsidP="00432582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osobní ohodnocení</w:t>
      </w:r>
      <w:r w:rsidR="00D20A2E" w:rsidRPr="00B7704E">
        <w:rPr>
          <w:rFonts w:ascii="Calibri" w:hAnsi="Calibri" w:cs="Times New Roman"/>
          <w:spacing w:val="-20"/>
          <w:sz w:val="24"/>
          <w:szCs w:val="24"/>
        </w:rPr>
        <w:t xml:space="preserve"> (rozpětí 7-20%)</w:t>
      </w:r>
    </w:p>
    <w:p w:rsidR="009940CD" w:rsidRPr="00B7704E" w:rsidRDefault="001D26A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výkonová odměna</w:t>
      </w:r>
      <w:r w:rsidR="009940CD" w:rsidRPr="00B7704E">
        <w:rPr>
          <w:rFonts w:ascii="Calibri" w:hAnsi="Calibri" w:cs="Times New Roman"/>
          <w:spacing w:val="-20"/>
          <w:sz w:val="24"/>
          <w:szCs w:val="24"/>
        </w:rPr>
        <w:t xml:space="preserve">  </w:t>
      </w:r>
    </w:p>
    <w:p w:rsidR="001916BF" w:rsidRPr="00B7704E" w:rsidRDefault="009940CD" w:rsidP="009940CD">
      <w:pPr>
        <w:pStyle w:val="Odstavecseseznamem"/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b/>
          <w:spacing w:val="-20"/>
          <w:sz w:val="24"/>
          <w:szCs w:val="24"/>
        </w:rPr>
        <w:t xml:space="preserve">výše objemu mzdových prostředků pro výplatu VO je stanovena u povolání:  </w:t>
      </w:r>
    </w:p>
    <w:p w:rsidR="009940CD" w:rsidRPr="00B7704E" w:rsidRDefault="009940CD" w:rsidP="009940CD">
      <w:pPr>
        <w:pStyle w:val="Odstavecseseznamem"/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b/>
          <w:spacing w:val="-20"/>
          <w:sz w:val="24"/>
          <w:szCs w:val="24"/>
        </w:rPr>
        <w:t>strojvedoucí na 6 % (rozpětí 5,5 - 9%)</w:t>
      </w:r>
    </w:p>
    <w:p w:rsidR="009940CD" w:rsidRPr="00B7704E" w:rsidRDefault="009940CD" w:rsidP="009940CD">
      <w:pPr>
        <w:pStyle w:val="Odstavecseseznamem"/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b/>
          <w:spacing w:val="-20"/>
          <w:sz w:val="24"/>
          <w:szCs w:val="24"/>
        </w:rPr>
        <w:t>vlakové čety na 4,6%  (rozpětí 4,2-9%</w:t>
      </w:r>
    </w:p>
    <w:p w:rsidR="009940CD" w:rsidRPr="00B7704E" w:rsidRDefault="009940CD" w:rsidP="009940CD">
      <w:pPr>
        <w:pStyle w:val="Odstavecseseznamem"/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b/>
          <w:spacing w:val="-20"/>
          <w:sz w:val="24"/>
          <w:szCs w:val="24"/>
        </w:rPr>
        <w:t>ostatní zaměstnanci na 4,1%</w:t>
      </w:r>
      <w:r w:rsidR="00D20A2E" w:rsidRPr="00B7704E">
        <w:rPr>
          <w:rFonts w:ascii="Calibri" w:hAnsi="Calibri" w:cs="Times New Roman"/>
          <w:b/>
          <w:spacing w:val="-20"/>
          <w:sz w:val="24"/>
          <w:szCs w:val="24"/>
        </w:rPr>
        <w:t xml:space="preserve"> (rozpětí 4-9%)</w:t>
      </w:r>
    </w:p>
    <w:p w:rsidR="00D20A2E" w:rsidRPr="00B7704E" w:rsidRDefault="00D20A2E" w:rsidP="009940CD">
      <w:pPr>
        <w:pStyle w:val="Odstavecseseznamem"/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b/>
          <w:spacing w:val="-20"/>
          <w:sz w:val="24"/>
          <w:szCs w:val="24"/>
        </w:rPr>
        <w:t xml:space="preserve">Objem se zvyšuje  za stanovených podmínek o dalších 0,8%  a dalších 1,5% u zaměstnanců  ve vyjmenovaných povolání (viz čl. 19 bod 3)  </w:t>
      </w:r>
    </w:p>
    <w:p w:rsidR="00D20A2E" w:rsidRPr="00B7704E" w:rsidRDefault="00D20A2E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b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mimořádné odměny</w:t>
      </w:r>
      <w:r w:rsidR="000D79C8" w:rsidRPr="00B7704E">
        <w:rPr>
          <w:rFonts w:ascii="Calibri" w:hAnsi="Calibri" w:cs="Times New Roman"/>
          <w:spacing w:val="-20"/>
          <w:sz w:val="24"/>
          <w:szCs w:val="24"/>
        </w:rPr>
        <w:t xml:space="preserve"> (životní jubileum a k odchodu do důchodu)</w:t>
      </w:r>
    </w:p>
    <w:p w:rsidR="000D79C8" w:rsidRPr="00B7704E" w:rsidRDefault="000D79C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příspěvek na udržení zdravotní a odborné způsobilosti</w:t>
      </w:r>
    </w:p>
    <w:p w:rsidR="000D79C8" w:rsidRPr="00B7704E" w:rsidRDefault="000D79C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odměňování při prostojích</w:t>
      </w:r>
    </w:p>
    <w:p w:rsidR="000D79C8" w:rsidRPr="00B7704E" w:rsidRDefault="000D79C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odměňování při nepříznivých povětrnostních vlivech a jejich důsledcích</w:t>
      </w:r>
    </w:p>
    <w:p w:rsidR="000D79C8" w:rsidRPr="00B7704E" w:rsidRDefault="000D79C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mzda při převedení na jinou práci</w:t>
      </w:r>
    </w:p>
    <w:p w:rsidR="000D79C8" w:rsidRPr="00B7704E" w:rsidRDefault="000D79C8" w:rsidP="001916BF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odměňování při mimořádné události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odměňování při nařízených lékařských prohlídkách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odměňování účasti na školení, přezkušování, studiu při zaměstnání a rekvalifikaci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přepočet měsíčních částek na částky hodinové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průměrný výdělek pro pracovněprávní účely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odměna za pracovní pohotovost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proplácení zlomků hodin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splatnost mzdy, odměny z dohody, odměny za pracovní pohotovost a náhrady mzdy</w:t>
      </w:r>
    </w:p>
    <w:p w:rsidR="000D79C8" w:rsidRPr="00B7704E" w:rsidRDefault="000D79C8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srážky ze mzdy, odměny za pracovní pohotovost a náhrady mzdy</w:t>
      </w:r>
    </w:p>
    <w:p w:rsidR="00D62B7B" w:rsidRPr="00B7704E" w:rsidRDefault="00D62B7B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lastRenderedPageBreak/>
        <w:t>seznámení zaměstnanců</w:t>
      </w:r>
    </w:p>
    <w:p w:rsidR="00D62B7B" w:rsidRPr="00B7704E" w:rsidRDefault="00D62B7B" w:rsidP="000D79C8">
      <w:pPr>
        <w:pStyle w:val="Odstavecseseznamem"/>
        <w:numPr>
          <w:ilvl w:val="0"/>
          <w:numId w:val="6"/>
        </w:numPr>
        <w:rPr>
          <w:rFonts w:ascii="Calibri" w:hAnsi="Calibri" w:cs="Times New Roman"/>
          <w:spacing w:val="-20"/>
          <w:sz w:val="24"/>
          <w:szCs w:val="24"/>
        </w:rPr>
      </w:pPr>
      <w:r w:rsidRPr="00B7704E">
        <w:rPr>
          <w:rFonts w:ascii="Calibri" w:hAnsi="Calibri" w:cs="Times New Roman"/>
          <w:spacing w:val="-20"/>
          <w:sz w:val="24"/>
          <w:szCs w:val="24"/>
        </w:rPr>
        <w:t>závěrečná ustanovení</w:t>
      </w:r>
    </w:p>
    <w:p w:rsidR="00850298" w:rsidRPr="000D7931" w:rsidRDefault="00850298" w:rsidP="00AC1EB3">
      <w:pPr>
        <w:rPr>
          <w:rFonts w:ascii="Calibri" w:hAnsi="Calibri" w:cs="Times New Roman"/>
          <w:b/>
          <w:sz w:val="24"/>
          <w:szCs w:val="24"/>
        </w:rPr>
      </w:pPr>
    </w:p>
    <w:p w:rsidR="00AC1EB3" w:rsidRPr="000D7931" w:rsidRDefault="00AC1EB3" w:rsidP="00AC1EB3">
      <w:pPr>
        <w:rPr>
          <w:rFonts w:ascii="Calibri" w:hAnsi="Calibri" w:cs="Times New Roman"/>
          <w:b/>
          <w:sz w:val="24"/>
          <w:szCs w:val="24"/>
        </w:rPr>
      </w:pPr>
      <w:r w:rsidRPr="000D7931">
        <w:rPr>
          <w:rFonts w:ascii="Calibri" w:hAnsi="Calibri" w:cs="Times New Roman"/>
          <w:b/>
          <w:sz w:val="24"/>
          <w:szCs w:val="24"/>
        </w:rPr>
        <w:t xml:space="preserve">A. + B. Mzdové tarify </w:t>
      </w:r>
      <w:r w:rsidR="003F6EE4" w:rsidRPr="000D7931">
        <w:rPr>
          <w:rFonts w:ascii="Calibri" w:hAnsi="Calibri" w:cs="Times New Roman"/>
          <w:b/>
          <w:sz w:val="24"/>
          <w:szCs w:val="24"/>
        </w:rPr>
        <w:t>+</w:t>
      </w:r>
      <w:r w:rsidRPr="000D7931">
        <w:rPr>
          <w:rFonts w:ascii="Calibri" w:hAnsi="Calibri" w:cs="Times New Roman"/>
          <w:b/>
          <w:sz w:val="24"/>
          <w:szCs w:val="24"/>
        </w:rPr>
        <w:t xml:space="preserve"> m</w:t>
      </w:r>
      <w:r w:rsidR="0018318F" w:rsidRPr="000D7931">
        <w:rPr>
          <w:rFonts w:ascii="Calibri" w:hAnsi="Calibri" w:cs="Times New Roman"/>
          <w:b/>
          <w:sz w:val="24"/>
          <w:szCs w:val="24"/>
        </w:rPr>
        <w:t>ěsíční a hodinové sazby příplatku za praxi</w:t>
      </w:r>
      <w:r w:rsidR="00D44F08" w:rsidRPr="000D7931">
        <w:rPr>
          <w:rFonts w:ascii="Calibri" w:hAnsi="Calibri" w:cs="Times New Roman"/>
          <w:b/>
          <w:sz w:val="24"/>
          <w:szCs w:val="24"/>
        </w:rPr>
        <w:t xml:space="preserve">  </w:t>
      </w:r>
      <w:r w:rsidRPr="000D7931">
        <w:rPr>
          <w:rFonts w:ascii="Calibri" w:hAnsi="Calibri" w:cs="Times New Roman"/>
          <w:b/>
          <w:sz w:val="24"/>
          <w:szCs w:val="24"/>
        </w:rPr>
        <w:t>(součet nároků)</w:t>
      </w:r>
      <w:r w:rsidR="00D44F08" w:rsidRPr="000D7931">
        <w:rPr>
          <w:rFonts w:ascii="Calibri" w:hAnsi="Calibri" w:cs="Times New Roman"/>
          <w:b/>
          <w:sz w:val="24"/>
          <w:szCs w:val="24"/>
        </w:rPr>
        <w:t xml:space="preserve">   </w:t>
      </w:r>
    </w:p>
    <w:tbl>
      <w:tblPr>
        <w:tblW w:w="8919" w:type="dxa"/>
        <w:tblInd w:w="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947"/>
        <w:gridCol w:w="837"/>
        <w:gridCol w:w="892"/>
        <w:gridCol w:w="892"/>
        <w:gridCol w:w="892"/>
        <w:gridCol w:w="892"/>
        <w:gridCol w:w="892"/>
        <w:gridCol w:w="793"/>
        <w:gridCol w:w="991"/>
      </w:tblGrid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nil"/>
              <w:bottom w:val="nil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D44F08" w:rsidP="001831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793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AC1EB3" w:rsidRPr="000D7931">
              <w:rPr>
                <w:rFonts w:ascii="Calibri" w:hAnsi="Calibri" w:cs="Times New Roman"/>
                <w:b/>
                <w:sz w:val="24"/>
                <w:szCs w:val="24"/>
              </w:rPr>
              <w:t xml:space="preserve">                                      </w:t>
            </w:r>
            <w:r w:rsidR="00AC1EB3" w:rsidRPr="000D7931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      LP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21159C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Základní</w:t>
            </w:r>
          </w:p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 r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. +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r.</w:t>
            </w:r>
            <w:r w:rsidR="00760554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+</w:t>
            </w:r>
          </w:p>
        </w:tc>
      </w:tr>
      <w:tr w:rsidR="0018318F" w:rsidRPr="000D7931" w:rsidTr="001916BF">
        <w:trPr>
          <w:trHeight w:val="32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TS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18318F" w:rsidRPr="000D7931" w:rsidRDefault="0018318F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AC1EB3" w:rsidP="00AC1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11 000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AC1EB3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AC1EB3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11 </w:t>
            </w:r>
            <w:r w:rsidR="0018318F"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650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12 600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12 830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12 900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13 100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13 200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13 260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18F" w:rsidRPr="000D7931" w:rsidRDefault="003F6EE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13 320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18F" w:rsidRPr="000D7931" w:rsidRDefault="003F6EE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13 320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13 320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14 190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14 450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14 540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14 740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14 840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14 910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18F" w:rsidRPr="000D7931" w:rsidRDefault="003F6EE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14 990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18F" w:rsidRPr="000D7931" w:rsidRDefault="003F6EE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14 990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15 780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16 080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16 180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16 380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15 480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16 610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18F" w:rsidRPr="000D7931" w:rsidRDefault="003F6EE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16 680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18F" w:rsidRPr="000D7931" w:rsidRDefault="003F6EE4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16 680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16 680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17 290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17 640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17 750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17 950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18 050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18 190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18240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18 290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18 390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18 940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19 350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19 470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19 670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19 770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19 920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19 990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20 090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20 490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20 950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21 080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21 280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21 380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21 540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20 640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21 740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21 790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21 970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22 480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22 620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22 820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22 920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23 090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23 170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23 270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23 370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23 540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24 450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24 550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24 730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24 830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24 890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25 090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25 080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25 690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25 850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26 050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26 150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26 340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26 450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26 630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26 730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26 510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27 170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27 340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27 540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27 640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27 840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27 990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28 110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28 310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28 150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28 860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29 040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29 240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29 340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29 550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29 710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29 850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30 050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29 570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1159C" w:rsidP="00211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30 330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30 520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30 720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30 820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57504D" w:rsidP="005750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31 040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31 210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31 570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31 670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31 520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32 330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32 530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32 730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32 830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33 060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33 320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33 620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33 770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35 280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36 180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36 390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36 590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B87246" w:rsidP="00B87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36 690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36 930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37 280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2A7CA2" w:rsidP="002A7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37 580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EA283F" w:rsidP="00EA2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37 880</w:t>
            </w:r>
          </w:p>
        </w:tc>
      </w:tr>
      <w:tr w:rsidR="0018318F" w:rsidRPr="000D7931" w:rsidTr="001916BF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18318F" w:rsidP="00AC1E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47" w:type="dxa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60554" w:rsidP="00760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38 940</w:t>
            </w:r>
          </w:p>
        </w:tc>
        <w:tc>
          <w:tcPr>
            <w:tcW w:w="837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39 940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40 160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40 360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40 460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40 710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7159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41 040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715961" w:rsidP="00183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41 340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18F" w:rsidRPr="000D7931" w:rsidRDefault="003F6EE4" w:rsidP="003F6E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D793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41 640</w:t>
            </w:r>
          </w:p>
        </w:tc>
      </w:tr>
    </w:tbl>
    <w:p w:rsidR="00FC7918" w:rsidRPr="000D7931" w:rsidRDefault="00DD7039" w:rsidP="007F59C2">
      <w:pPr>
        <w:rPr>
          <w:rFonts w:ascii="Calibri" w:hAnsi="Calibri" w:cs="Times New Roman"/>
          <w:sz w:val="16"/>
          <w:szCs w:val="16"/>
        </w:rPr>
      </w:pPr>
      <w:r w:rsidRPr="000D7931">
        <w:rPr>
          <w:rFonts w:ascii="Calibri" w:hAnsi="Calibri" w:cs="Times New Roman"/>
          <w:sz w:val="16"/>
          <w:szCs w:val="16"/>
          <w:u w:val="single"/>
        </w:rPr>
        <w:t>*Poznámka</w:t>
      </w:r>
      <w:r w:rsidRPr="000D7931">
        <w:rPr>
          <w:rFonts w:ascii="Calibri" w:hAnsi="Calibri" w:cs="Times New Roman"/>
          <w:sz w:val="16"/>
          <w:szCs w:val="16"/>
        </w:rPr>
        <w:t xml:space="preserve"> – Jedná se o prostý součet základního tarifu a příplatku za praxi, za předpokladu plně odpracované doby. </w:t>
      </w:r>
      <w:r w:rsidR="00FA6487" w:rsidRPr="000D7931">
        <w:rPr>
          <w:rFonts w:ascii="Calibri" w:hAnsi="Calibri" w:cs="Times New Roman"/>
          <w:sz w:val="16"/>
          <w:szCs w:val="16"/>
        </w:rPr>
        <w:t>V</w:t>
      </w:r>
      <w:r w:rsidRPr="000D7931">
        <w:rPr>
          <w:rFonts w:ascii="Calibri" w:hAnsi="Calibri" w:cs="Times New Roman"/>
          <w:sz w:val="16"/>
          <w:szCs w:val="16"/>
        </w:rPr>
        <w:t>ýkonová odměna se vypočte vždy pouze ze základního tarifu.</w:t>
      </w:r>
    </w:p>
    <w:p w:rsidR="001374BE" w:rsidRPr="00B7704E" w:rsidRDefault="00FA6487" w:rsidP="00FA6487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 xml:space="preserve">C. </w:t>
      </w:r>
      <w:r w:rsidR="00BC6A93" w:rsidRPr="00B7704E">
        <w:rPr>
          <w:rFonts w:ascii="Calibri" w:hAnsi="Calibri" w:cs="Times New Roman"/>
          <w:b/>
          <w:sz w:val="24"/>
          <w:szCs w:val="24"/>
        </w:rPr>
        <w:t>O</w:t>
      </w:r>
      <w:r w:rsidR="001374BE" w:rsidRPr="00B7704E">
        <w:rPr>
          <w:rFonts w:ascii="Calibri" w:hAnsi="Calibri" w:cs="Times New Roman"/>
          <w:b/>
          <w:sz w:val="24"/>
          <w:szCs w:val="24"/>
        </w:rPr>
        <w:t>dměňování zaměstnanců, kteří jsou zařazeni v zaměstnání „ Pracovník dozoru“</w:t>
      </w:r>
    </w:p>
    <w:p w:rsidR="001374BE" w:rsidRPr="00B7704E" w:rsidRDefault="00BC6A93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 </w:t>
      </w:r>
      <w:r w:rsidR="001374BE" w:rsidRPr="00B7704E">
        <w:rPr>
          <w:rFonts w:ascii="Calibri" w:hAnsi="Calibri" w:cs="Times New Roman"/>
          <w:sz w:val="24"/>
          <w:szCs w:val="24"/>
        </w:rPr>
        <w:t>Stejné jako v roce 201</w:t>
      </w:r>
      <w:r w:rsidR="00FA6487" w:rsidRPr="00B7704E">
        <w:rPr>
          <w:rFonts w:ascii="Calibri" w:hAnsi="Calibri" w:cs="Times New Roman"/>
          <w:sz w:val="24"/>
          <w:szCs w:val="24"/>
        </w:rPr>
        <w:t>6</w:t>
      </w:r>
    </w:p>
    <w:p w:rsidR="00BC6A93" w:rsidRPr="00B7704E" w:rsidRDefault="00BC6A93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 xml:space="preserve"> D. Příplatek za práci v noci</w:t>
      </w:r>
      <w:r w:rsidRPr="00B7704E">
        <w:rPr>
          <w:rFonts w:ascii="Calibri" w:hAnsi="Calibri" w:cs="Times New Roman"/>
          <w:sz w:val="24"/>
          <w:szCs w:val="24"/>
        </w:rPr>
        <w:t xml:space="preserve"> </w:t>
      </w:r>
    </w:p>
    <w:p w:rsidR="001374BE" w:rsidRPr="00B7704E" w:rsidRDefault="00BC6A93" w:rsidP="00BC6A93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Stejné jako v roce 201</w:t>
      </w:r>
      <w:r w:rsidR="00FA6487" w:rsidRPr="00B7704E">
        <w:rPr>
          <w:rFonts w:ascii="Calibri" w:hAnsi="Calibri" w:cs="Times New Roman"/>
          <w:sz w:val="24"/>
          <w:szCs w:val="24"/>
        </w:rPr>
        <w:t>6</w:t>
      </w:r>
    </w:p>
    <w:p w:rsidR="00BC6A93" w:rsidRPr="00B7704E" w:rsidRDefault="00BC6A93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>E. Příplatek za práci o sobotách a nedělích</w:t>
      </w:r>
      <w:r w:rsidRPr="00B7704E">
        <w:rPr>
          <w:rFonts w:ascii="Calibri" w:hAnsi="Calibri" w:cs="Times New Roman"/>
          <w:sz w:val="24"/>
          <w:szCs w:val="24"/>
        </w:rPr>
        <w:t xml:space="preserve"> </w:t>
      </w:r>
    </w:p>
    <w:p w:rsidR="00BC6A93" w:rsidRPr="00B7704E" w:rsidRDefault="00BC6A93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Stejné jako v roce 201</w:t>
      </w:r>
      <w:r w:rsidR="00FA6487" w:rsidRPr="00B7704E">
        <w:rPr>
          <w:rFonts w:ascii="Calibri" w:hAnsi="Calibri" w:cs="Times New Roman"/>
          <w:sz w:val="24"/>
          <w:szCs w:val="24"/>
        </w:rPr>
        <w:t>6</w:t>
      </w:r>
    </w:p>
    <w:p w:rsidR="00BC6A93" w:rsidRPr="00B7704E" w:rsidRDefault="00BC6A93" w:rsidP="00BC6A93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>F. Příplatek za dělenou směnu</w:t>
      </w:r>
    </w:p>
    <w:p w:rsidR="007D265C" w:rsidRPr="00B7704E" w:rsidRDefault="007D265C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Nově se zařadil další parametr: </w:t>
      </w:r>
      <w:r w:rsidRPr="00B7704E">
        <w:rPr>
          <w:rFonts w:ascii="Calibri" w:hAnsi="Calibri" w:cs="Times New Roman"/>
          <w:b/>
          <w:sz w:val="24"/>
          <w:szCs w:val="24"/>
        </w:rPr>
        <w:t>60% průměrného výdělku za každou hodinu rozdělení, pokud součet hodin rozdělení přesáhne v zúčtovacím období 20 hodin</w:t>
      </w:r>
    </w:p>
    <w:p w:rsidR="00BC6A93" w:rsidRPr="00B7704E" w:rsidRDefault="00BC6A93" w:rsidP="00BC6A93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>G. Příplatek za režim práce</w:t>
      </w:r>
    </w:p>
    <w:p w:rsidR="007D265C" w:rsidRPr="00B7704E" w:rsidRDefault="007D265C" w:rsidP="00DF1DFF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 xml:space="preserve">Nově je zrušena nástavba za tzv. „kilometrovné“. </w:t>
      </w:r>
      <w:r w:rsidR="00C47E95" w:rsidRPr="00C47E95">
        <w:rPr>
          <w:rFonts w:ascii="Calibri" w:hAnsi="Calibri" w:cs="Times New Roman"/>
          <w:sz w:val="24"/>
          <w:szCs w:val="24"/>
        </w:rPr>
        <w:t>Ostatní</w:t>
      </w:r>
      <w:r w:rsidRPr="00C47E95">
        <w:rPr>
          <w:rFonts w:ascii="Calibri" w:hAnsi="Calibri" w:cs="Times New Roman"/>
          <w:sz w:val="24"/>
          <w:szCs w:val="24"/>
        </w:rPr>
        <w:t xml:space="preserve"> </w:t>
      </w:r>
      <w:r w:rsidRPr="00B7704E">
        <w:rPr>
          <w:rFonts w:ascii="Calibri" w:hAnsi="Calibri" w:cs="Times New Roman"/>
          <w:sz w:val="24"/>
          <w:szCs w:val="24"/>
        </w:rPr>
        <w:t>sazby</w:t>
      </w:r>
      <w:r w:rsidR="00C47E95">
        <w:rPr>
          <w:rFonts w:ascii="Calibri" w:hAnsi="Calibri" w:cs="Times New Roman"/>
          <w:sz w:val="24"/>
          <w:szCs w:val="24"/>
        </w:rPr>
        <w:t xml:space="preserve"> jsou stejné</w:t>
      </w:r>
      <w:r w:rsidRPr="00B7704E">
        <w:rPr>
          <w:rFonts w:ascii="Calibri" w:hAnsi="Calibri" w:cs="Times New Roman"/>
          <w:sz w:val="24"/>
          <w:szCs w:val="24"/>
        </w:rPr>
        <w:t xml:space="preserve"> </w:t>
      </w:r>
      <w:r w:rsidR="00C47E95">
        <w:rPr>
          <w:rFonts w:ascii="Calibri" w:hAnsi="Calibri" w:cs="Times New Roman"/>
          <w:sz w:val="24"/>
          <w:szCs w:val="24"/>
        </w:rPr>
        <w:t>(</w:t>
      </w:r>
      <w:r w:rsidRPr="00B7704E">
        <w:rPr>
          <w:rFonts w:ascii="Calibri" w:hAnsi="Calibri" w:cs="Times New Roman"/>
          <w:sz w:val="24"/>
          <w:szCs w:val="24"/>
        </w:rPr>
        <w:t>7, 10</w:t>
      </w:r>
      <w:r w:rsidR="00C47E95">
        <w:rPr>
          <w:rFonts w:ascii="Calibri" w:hAnsi="Calibri" w:cs="Times New Roman"/>
          <w:sz w:val="24"/>
          <w:szCs w:val="24"/>
        </w:rPr>
        <w:t>,</w:t>
      </w:r>
      <w:r w:rsidRPr="00B7704E">
        <w:rPr>
          <w:rFonts w:ascii="Calibri" w:hAnsi="Calibri" w:cs="Times New Roman"/>
          <w:sz w:val="24"/>
          <w:szCs w:val="24"/>
        </w:rPr>
        <w:t xml:space="preserve"> 12</w:t>
      </w:r>
      <w:r w:rsidR="00C47E95">
        <w:rPr>
          <w:rFonts w:ascii="Calibri" w:hAnsi="Calibri" w:cs="Times New Roman"/>
          <w:sz w:val="24"/>
          <w:szCs w:val="24"/>
        </w:rPr>
        <w:t>, 25 a 70</w:t>
      </w:r>
      <w:r w:rsidRPr="00B7704E">
        <w:rPr>
          <w:rFonts w:ascii="Calibri" w:hAnsi="Calibri" w:cs="Times New Roman"/>
          <w:sz w:val="24"/>
          <w:szCs w:val="24"/>
        </w:rPr>
        <w:t xml:space="preserve"> Kč</w:t>
      </w:r>
      <w:r w:rsidR="00C47E95">
        <w:rPr>
          <w:rFonts w:ascii="Calibri" w:hAnsi="Calibri" w:cs="Times New Roman"/>
          <w:sz w:val="24"/>
          <w:szCs w:val="24"/>
        </w:rPr>
        <w:t>)</w:t>
      </w:r>
    </w:p>
    <w:p w:rsidR="001916BF" w:rsidRPr="00B7704E" w:rsidRDefault="001916BF" w:rsidP="00DF1DFF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>H. Příspěvek na udržení zdravotní a odborné způsobilosti</w:t>
      </w:r>
      <w:r w:rsidRPr="00B7704E">
        <w:rPr>
          <w:rFonts w:ascii="Calibri" w:hAnsi="Calibri" w:cs="Times New Roman"/>
          <w:sz w:val="24"/>
          <w:szCs w:val="24"/>
        </w:rPr>
        <w:t xml:space="preserve"> </w:t>
      </w:r>
    </w:p>
    <w:p w:rsidR="007D265C" w:rsidRPr="00B7704E" w:rsidRDefault="001916BF" w:rsidP="00DF1DFF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Stejné jako v roce 2016</w:t>
      </w:r>
    </w:p>
    <w:p w:rsidR="001916BF" w:rsidRPr="00B7704E" w:rsidRDefault="001916BF" w:rsidP="00DF1DFF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lastRenderedPageBreak/>
        <w:t>I. Odměna za pracovní pohotovost</w:t>
      </w:r>
    </w:p>
    <w:p w:rsidR="001916BF" w:rsidRPr="00B7704E" w:rsidRDefault="001916BF" w:rsidP="001916BF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Stejné jako v roce 2016</w:t>
      </w:r>
    </w:p>
    <w:p w:rsidR="00DF1DFF" w:rsidRPr="00B7704E" w:rsidRDefault="00DF1DFF" w:rsidP="00DF1DFF">
      <w:pPr>
        <w:rPr>
          <w:rFonts w:ascii="Calibri" w:hAnsi="Calibri" w:cs="Times New Roman"/>
          <w:i/>
          <w:sz w:val="24"/>
          <w:szCs w:val="24"/>
        </w:rPr>
      </w:pPr>
      <w:r w:rsidRPr="00B7704E">
        <w:rPr>
          <w:rFonts w:ascii="Calibri" w:hAnsi="Calibri" w:cs="Times New Roman"/>
          <w:b/>
          <w:i/>
          <w:sz w:val="24"/>
          <w:szCs w:val="24"/>
        </w:rPr>
        <w:t>Příloha 3</w:t>
      </w:r>
      <w:r w:rsidRPr="00B7704E">
        <w:rPr>
          <w:rFonts w:ascii="Calibri" w:hAnsi="Calibri" w:cs="Times New Roman"/>
          <w:i/>
          <w:sz w:val="24"/>
          <w:szCs w:val="24"/>
        </w:rPr>
        <w:t xml:space="preserve"> (Stravování a náhrada výdajů)</w:t>
      </w:r>
    </w:p>
    <w:p w:rsidR="00DF1DFF" w:rsidRPr="00B7704E" w:rsidRDefault="00DF1DFF" w:rsidP="00DF1DFF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Cena poskytnutých stravenek </w:t>
      </w:r>
      <w:r w:rsidR="001916BF" w:rsidRPr="00B7704E">
        <w:rPr>
          <w:rFonts w:ascii="Calibri" w:hAnsi="Calibri" w:cs="Times New Roman"/>
          <w:sz w:val="24"/>
          <w:szCs w:val="24"/>
        </w:rPr>
        <w:t xml:space="preserve">zůstává stejná. </w:t>
      </w:r>
      <w:r w:rsidR="001916BF" w:rsidRPr="00B7704E">
        <w:rPr>
          <w:rFonts w:ascii="Calibri" w:hAnsi="Calibri" w:cs="Times New Roman"/>
          <w:b/>
          <w:sz w:val="24"/>
          <w:szCs w:val="24"/>
        </w:rPr>
        <w:t>Pokud vznikne nárok na stravenku v hodnotě 100 Kč, lze nově poskytnout dvě stravenky v nominální hodnotě 50 Kč.</w:t>
      </w:r>
    </w:p>
    <w:p w:rsidR="00DF1DFF" w:rsidRPr="00B7704E" w:rsidRDefault="00DF1DFF" w:rsidP="00DF1DFF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Stravné při pracovních cestách:</w:t>
      </w:r>
    </w:p>
    <w:p w:rsidR="004223F4" w:rsidRPr="00B7704E" w:rsidRDefault="00DF1DFF" w:rsidP="004223F4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  <w:u w:val="single"/>
        </w:rPr>
        <w:t>Kategorie a)</w:t>
      </w:r>
      <w:r w:rsidRPr="00B7704E">
        <w:rPr>
          <w:rFonts w:ascii="Calibri" w:hAnsi="Calibri" w:cs="Times New Roman"/>
          <w:sz w:val="24"/>
          <w:szCs w:val="24"/>
        </w:rPr>
        <w:t xml:space="preserve">  - původně </w:t>
      </w:r>
      <w:r w:rsidR="007370FA" w:rsidRPr="00B7704E">
        <w:rPr>
          <w:rFonts w:ascii="Calibri" w:hAnsi="Calibri" w:cs="Times New Roman"/>
          <w:sz w:val="24"/>
          <w:szCs w:val="24"/>
        </w:rPr>
        <w:t xml:space="preserve"> </w:t>
      </w:r>
      <w:r w:rsidRPr="00B7704E">
        <w:rPr>
          <w:rFonts w:ascii="Calibri" w:hAnsi="Calibri" w:cs="Times New Roman"/>
          <w:sz w:val="24"/>
          <w:szCs w:val="24"/>
        </w:rPr>
        <w:t>7</w:t>
      </w:r>
      <w:r w:rsidR="007370FA" w:rsidRPr="00B7704E">
        <w:rPr>
          <w:rFonts w:ascii="Calibri" w:hAnsi="Calibri" w:cs="Times New Roman"/>
          <w:sz w:val="24"/>
          <w:szCs w:val="24"/>
        </w:rPr>
        <w:t>7</w:t>
      </w:r>
      <w:r w:rsidRPr="00B7704E">
        <w:rPr>
          <w:rFonts w:ascii="Calibri" w:hAnsi="Calibri" w:cs="Times New Roman"/>
          <w:sz w:val="24"/>
          <w:szCs w:val="24"/>
        </w:rPr>
        <w:t xml:space="preserve"> </w:t>
      </w:r>
      <w:r w:rsidR="00EE41A9" w:rsidRPr="00B7704E">
        <w:rPr>
          <w:rFonts w:ascii="Calibri" w:hAnsi="Calibri" w:cs="Times New Roman"/>
          <w:sz w:val="24"/>
          <w:szCs w:val="24"/>
        </w:rPr>
        <w:t xml:space="preserve">Kč </w:t>
      </w:r>
      <w:r w:rsidR="004223F4" w:rsidRPr="00B7704E">
        <w:rPr>
          <w:rFonts w:ascii="Calibri" w:hAnsi="Calibri" w:cs="Times New Roman"/>
          <w:sz w:val="24"/>
          <w:szCs w:val="24"/>
        </w:rPr>
        <w:t xml:space="preserve"> </w:t>
      </w:r>
      <w:r w:rsidR="007370FA" w:rsidRPr="00B7704E">
        <w:rPr>
          <w:rFonts w:ascii="Calibri" w:hAnsi="Calibri" w:cs="Times New Roman"/>
          <w:sz w:val="24"/>
          <w:szCs w:val="24"/>
        </w:rPr>
        <w:t>n</w:t>
      </w:r>
      <w:r w:rsidR="00EE41A9" w:rsidRPr="00B7704E">
        <w:rPr>
          <w:rFonts w:ascii="Calibri" w:hAnsi="Calibri" w:cs="Times New Roman"/>
          <w:sz w:val="24"/>
          <w:szCs w:val="24"/>
        </w:rPr>
        <w:t>ově</w:t>
      </w:r>
      <w:r w:rsidRPr="00B7704E">
        <w:rPr>
          <w:rFonts w:ascii="Calibri" w:hAnsi="Calibri" w:cs="Times New Roman"/>
          <w:sz w:val="24"/>
          <w:szCs w:val="24"/>
        </w:rPr>
        <w:t xml:space="preserve"> </w:t>
      </w:r>
      <w:r w:rsidRPr="00B7704E">
        <w:rPr>
          <w:rFonts w:ascii="Calibri" w:hAnsi="Calibri" w:cs="Times New Roman"/>
          <w:b/>
          <w:sz w:val="24"/>
          <w:szCs w:val="24"/>
        </w:rPr>
        <w:t>7</w:t>
      </w:r>
      <w:r w:rsidR="007370FA" w:rsidRPr="00B7704E">
        <w:rPr>
          <w:rFonts w:ascii="Calibri" w:hAnsi="Calibri" w:cs="Times New Roman"/>
          <w:b/>
          <w:sz w:val="24"/>
          <w:szCs w:val="24"/>
        </w:rPr>
        <w:t>9</w:t>
      </w:r>
      <w:r w:rsidRPr="00B7704E">
        <w:rPr>
          <w:rFonts w:ascii="Calibri" w:hAnsi="Calibri" w:cs="Times New Roman"/>
          <w:b/>
          <w:sz w:val="24"/>
          <w:szCs w:val="24"/>
        </w:rPr>
        <w:t xml:space="preserve"> Kč</w:t>
      </w:r>
      <w:r w:rsidR="004223F4" w:rsidRPr="00B7704E">
        <w:rPr>
          <w:rFonts w:ascii="Calibri" w:hAnsi="Calibri" w:cs="Times New Roman"/>
          <w:sz w:val="24"/>
          <w:szCs w:val="24"/>
        </w:rPr>
        <w:t xml:space="preserve">          </w:t>
      </w:r>
      <w:r w:rsidR="004223F4" w:rsidRPr="00B7704E">
        <w:rPr>
          <w:rFonts w:ascii="Calibri" w:hAnsi="Calibri" w:cs="Times New Roman"/>
          <w:sz w:val="24"/>
          <w:szCs w:val="24"/>
          <w:u w:val="single"/>
        </w:rPr>
        <w:t>Kategorie b)</w:t>
      </w:r>
      <w:r w:rsidR="004223F4" w:rsidRPr="00B7704E">
        <w:rPr>
          <w:rFonts w:ascii="Calibri" w:hAnsi="Calibri" w:cs="Times New Roman"/>
          <w:sz w:val="24"/>
          <w:szCs w:val="24"/>
        </w:rPr>
        <w:t xml:space="preserve">  -  původně </w:t>
      </w:r>
      <w:r w:rsidR="007370FA" w:rsidRPr="00B7704E">
        <w:rPr>
          <w:rFonts w:ascii="Calibri" w:hAnsi="Calibri" w:cs="Times New Roman"/>
          <w:sz w:val="24"/>
          <w:szCs w:val="24"/>
        </w:rPr>
        <w:t>70</w:t>
      </w:r>
      <w:r w:rsidR="004223F4" w:rsidRPr="00B7704E">
        <w:rPr>
          <w:rFonts w:ascii="Calibri" w:hAnsi="Calibri" w:cs="Times New Roman"/>
          <w:sz w:val="24"/>
          <w:szCs w:val="24"/>
        </w:rPr>
        <w:t xml:space="preserve"> Kč nově </w:t>
      </w:r>
      <w:r w:rsidR="004223F4" w:rsidRPr="00B7704E">
        <w:rPr>
          <w:rFonts w:ascii="Calibri" w:hAnsi="Calibri" w:cs="Times New Roman"/>
          <w:b/>
          <w:sz w:val="24"/>
          <w:szCs w:val="24"/>
        </w:rPr>
        <w:t>7</w:t>
      </w:r>
      <w:r w:rsidR="007370FA" w:rsidRPr="00B7704E">
        <w:rPr>
          <w:rFonts w:ascii="Calibri" w:hAnsi="Calibri" w:cs="Times New Roman"/>
          <w:b/>
          <w:sz w:val="24"/>
          <w:szCs w:val="24"/>
        </w:rPr>
        <w:t>1</w:t>
      </w:r>
      <w:r w:rsidR="004223F4" w:rsidRPr="00B7704E">
        <w:rPr>
          <w:rFonts w:ascii="Calibri" w:hAnsi="Calibri" w:cs="Times New Roman"/>
          <w:b/>
          <w:sz w:val="24"/>
          <w:szCs w:val="24"/>
        </w:rPr>
        <w:t xml:space="preserve"> Kč</w:t>
      </w:r>
    </w:p>
    <w:p w:rsidR="004223F4" w:rsidRPr="00B7704E" w:rsidRDefault="004223F4" w:rsidP="004223F4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                  - původně 1</w:t>
      </w:r>
      <w:r w:rsidR="007370FA" w:rsidRPr="00B7704E">
        <w:rPr>
          <w:rFonts w:ascii="Calibri" w:hAnsi="Calibri" w:cs="Times New Roman"/>
          <w:sz w:val="24"/>
          <w:szCs w:val="24"/>
        </w:rPr>
        <w:t>16</w:t>
      </w:r>
      <w:r w:rsidRPr="00B7704E">
        <w:rPr>
          <w:rFonts w:ascii="Calibri" w:hAnsi="Calibri" w:cs="Times New Roman"/>
          <w:sz w:val="24"/>
          <w:szCs w:val="24"/>
        </w:rPr>
        <w:t xml:space="preserve"> Kč nově </w:t>
      </w:r>
      <w:r w:rsidRPr="00B7704E">
        <w:rPr>
          <w:rFonts w:ascii="Calibri" w:hAnsi="Calibri" w:cs="Times New Roman"/>
          <w:b/>
          <w:sz w:val="24"/>
          <w:szCs w:val="24"/>
        </w:rPr>
        <w:t>1</w:t>
      </w:r>
      <w:r w:rsidR="007370FA" w:rsidRPr="00B7704E">
        <w:rPr>
          <w:rFonts w:ascii="Calibri" w:hAnsi="Calibri" w:cs="Times New Roman"/>
          <w:b/>
          <w:sz w:val="24"/>
          <w:szCs w:val="24"/>
        </w:rPr>
        <w:t>18</w:t>
      </w:r>
      <w:r w:rsidRPr="00B7704E">
        <w:rPr>
          <w:rFonts w:ascii="Calibri" w:hAnsi="Calibri" w:cs="Times New Roman"/>
          <w:b/>
          <w:sz w:val="24"/>
          <w:szCs w:val="24"/>
        </w:rPr>
        <w:t xml:space="preserve"> Kč</w:t>
      </w:r>
      <w:r w:rsidRPr="00B7704E">
        <w:rPr>
          <w:rFonts w:ascii="Calibri" w:hAnsi="Calibri" w:cs="Times New Roman"/>
          <w:sz w:val="24"/>
          <w:szCs w:val="24"/>
        </w:rPr>
        <w:t xml:space="preserve">                                  - původně 1</w:t>
      </w:r>
      <w:r w:rsidR="007370FA" w:rsidRPr="00B7704E">
        <w:rPr>
          <w:rFonts w:ascii="Calibri" w:hAnsi="Calibri" w:cs="Times New Roman"/>
          <w:sz w:val="24"/>
          <w:szCs w:val="24"/>
        </w:rPr>
        <w:t>06</w:t>
      </w:r>
      <w:r w:rsidRPr="00B7704E">
        <w:rPr>
          <w:rFonts w:ascii="Calibri" w:hAnsi="Calibri" w:cs="Times New Roman"/>
          <w:sz w:val="24"/>
          <w:szCs w:val="24"/>
        </w:rPr>
        <w:t xml:space="preserve"> Kč nově </w:t>
      </w:r>
      <w:r w:rsidRPr="00B7704E">
        <w:rPr>
          <w:rFonts w:ascii="Calibri" w:hAnsi="Calibri" w:cs="Times New Roman"/>
          <w:b/>
          <w:sz w:val="24"/>
          <w:szCs w:val="24"/>
        </w:rPr>
        <w:t>1</w:t>
      </w:r>
      <w:r w:rsidR="007370FA" w:rsidRPr="00B7704E">
        <w:rPr>
          <w:rFonts w:ascii="Calibri" w:hAnsi="Calibri" w:cs="Times New Roman"/>
          <w:b/>
          <w:sz w:val="24"/>
          <w:szCs w:val="24"/>
        </w:rPr>
        <w:t>08</w:t>
      </w:r>
      <w:r w:rsidRPr="00B7704E">
        <w:rPr>
          <w:rFonts w:ascii="Calibri" w:hAnsi="Calibri" w:cs="Times New Roman"/>
          <w:b/>
          <w:sz w:val="24"/>
          <w:szCs w:val="24"/>
        </w:rPr>
        <w:t xml:space="preserve"> Kč</w:t>
      </w:r>
    </w:p>
    <w:p w:rsidR="004223F4" w:rsidRPr="00B7704E" w:rsidRDefault="004223F4" w:rsidP="004223F4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                  - původně 1</w:t>
      </w:r>
      <w:r w:rsidR="007370FA" w:rsidRPr="00B7704E">
        <w:rPr>
          <w:rFonts w:ascii="Calibri" w:hAnsi="Calibri" w:cs="Times New Roman"/>
          <w:sz w:val="24"/>
          <w:szCs w:val="24"/>
        </w:rPr>
        <w:t>80</w:t>
      </w:r>
      <w:r w:rsidRPr="00B7704E">
        <w:rPr>
          <w:rFonts w:ascii="Calibri" w:hAnsi="Calibri" w:cs="Times New Roman"/>
          <w:sz w:val="24"/>
          <w:szCs w:val="24"/>
        </w:rPr>
        <w:t xml:space="preserve"> Kč nově </w:t>
      </w:r>
      <w:r w:rsidRPr="00B7704E">
        <w:rPr>
          <w:rFonts w:ascii="Calibri" w:hAnsi="Calibri" w:cs="Times New Roman"/>
          <w:b/>
          <w:sz w:val="24"/>
          <w:szCs w:val="24"/>
        </w:rPr>
        <w:t>1</w:t>
      </w:r>
      <w:r w:rsidR="007370FA" w:rsidRPr="00B7704E">
        <w:rPr>
          <w:rFonts w:ascii="Calibri" w:hAnsi="Calibri" w:cs="Times New Roman"/>
          <w:b/>
          <w:sz w:val="24"/>
          <w:szCs w:val="24"/>
        </w:rPr>
        <w:t>82</w:t>
      </w:r>
      <w:r w:rsidRPr="00B7704E">
        <w:rPr>
          <w:rFonts w:ascii="Calibri" w:hAnsi="Calibri" w:cs="Times New Roman"/>
          <w:b/>
          <w:sz w:val="24"/>
          <w:szCs w:val="24"/>
        </w:rPr>
        <w:t xml:space="preserve"> Kč</w:t>
      </w:r>
      <w:r w:rsidRPr="00B7704E">
        <w:rPr>
          <w:rFonts w:ascii="Calibri" w:hAnsi="Calibri" w:cs="Times New Roman"/>
          <w:sz w:val="24"/>
          <w:szCs w:val="24"/>
        </w:rPr>
        <w:t xml:space="preserve">                                   - původně 1</w:t>
      </w:r>
      <w:r w:rsidR="007370FA" w:rsidRPr="00B7704E">
        <w:rPr>
          <w:rFonts w:ascii="Calibri" w:hAnsi="Calibri" w:cs="Times New Roman"/>
          <w:sz w:val="24"/>
          <w:szCs w:val="24"/>
        </w:rPr>
        <w:t>66</w:t>
      </w:r>
      <w:r w:rsidRPr="00B7704E">
        <w:rPr>
          <w:rFonts w:ascii="Calibri" w:hAnsi="Calibri" w:cs="Times New Roman"/>
          <w:sz w:val="24"/>
          <w:szCs w:val="24"/>
        </w:rPr>
        <w:t xml:space="preserve"> Kč nově </w:t>
      </w:r>
      <w:r w:rsidRPr="00B7704E">
        <w:rPr>
          <w:rFonts w:ascii="Calibri" w:hAnsi="Calibri" w:cs="Times New Roman"/>
          <w:b/>
          <w:sz w:val="24"/>
          <w:szCs w:val="24"/>
        </w:rPr>
        <w:t>1</w:t>
      </w:r>
      <w:r w:rsidR="007370FA" w:rsidRPr="00B7704E">
        <w:rPr>
          <w:rFonts w:ascii="Calibri" w:hAnsi="Calibri" w:cs="Times New Roman"/>
          <w:b/>
          <w:sz w:val="24"/>
          <w:szCs w:val="24"/>
        </w:rPr>
        <w:t>70</w:t>
      </w:r>
      <w:r w:rsidRPr="00B7704E">
        <w:rPr>
          <w:rFonts w:ascii="Calibri" w:hAnsi="Calibri" w:cs="Times New Roman"/>
          <w:b/>
          <w:sz w:val="24"/>
          <w:szCs w:val="24"/>
        </w:rPr>
        <w:t xml:space="preserve"> Kč</w:t>
      </w:r>
    </w:p>
    <w:p w:rsidR="004223F4" w:rsidRPr="00B7704E" w:rsidRDefault="004223F4" w:rsidP="00EE41A9">
      <w:pPr>
        <w:rPr>
          <w:rFonts w:ascii="Calibri" w:hAnsi="Calibri" w:cs="Times New Roman"/>
          <w:b/>
          <w:i/>
          <w:sz w:val="24"/>
          <w:szCs w:val="24"/>
        </w:rPr>
      </w:pPr>
    </w:p>
    <w:p w:rsidR="00EE41A9" w:rsidRPr="00B7704E" w:rsidRDefault="00EE41A9" w:rsidP="00EE41A9">
      <w:pPr>
        <w:rPr>
          <w:rFonts w:ascii="Calibri" w:hAnsi="Calibri" w:cs="Times New Roman"/>
          <w:i/>
          <w:sz w:val="24"/>
          <w:szCs w:val="24"/>
        </w:rPr>
      </w:pPr>
      <w:r w:rsidRPr="00B7704E">
        <w:rPr>
          <w:rFonts w:ascii="Calibri" w:hAnsi="Calibri" w:cs="Times New Roman"/>
          <w:b/>
          <w:i/>
          <w:sz w:val="24"/>
          <w:szCs w:val="24"/>
        </w:rPr>
        <w:t>Příloha 4</w:t>
      </w:r>
      <w:r w:rsidRPr="00B7704E">
        <w:rPr>
          <w:rFonts w:ascii="Calibri" w:hAnsi="Calibri" w:cs="Times New Roman"/>
          <w:i/>
          <w:sz w:val="24"/>
          <w:szCs w:val="24"/>
        </w:rPr>
        <w:t xml:space="preserve"> (Poskytování kondičních pobytů)</w:t>
      </w:r>
    </w:p>
    <w:p w:rsidR="00EE41A9" w:rsidRPr="00B7704E" w:rsidRDefault="00EE41A9" w:rsidP="00BC6A93">
      <w:pPr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            Stejné jako v roce 201</w:t>
      </w:r>
      <w:r w:rsidR="007370FA" w:rsidRPr="00B7704E">
        <w:rPr>
          <w:rFonts w:ascii="Calibri" w:hAnsi="Calibri" w:cs="Times New Roman"/>
          <w:sz w:val="24"/>
          <w:szCs w:val="24"/>
        </w:rPr>
        <w:t xml:space="preserve">6 </w:t>
      </w:r>
      <w:r w:rsidR="007370FA" w:rsidRPr="00B7704E">
        <w:rPr>
          <w:rFonts w:ascii="Calibri" w:hAnsi="Calibri" w:cs="Times New Roman"/>
          <w:b/>
          <w:sz w:val="24"/>
          <w:szCs w:val="24"/>
        </w:rPr>
        <w:t>– pouze reakce na změny názvů v katalogu prací</w:t>
      </w:r>
      <w:r w:rsidRPr="00B7704E">
        <w:rPr>
          <w:rFonts w:ascii="Calibri" w:hAnsi="Calibri" w:cs="Times New Roman"/>
          <w:b/>
          <w:sz w:val="24"/>
          <w:szCs w:val="24"/>
        </w:rPr>
        <w:t xml:space="preserve"> </w:t>
      </w:r>
    </w:p>
    <w:p w:rsidR="007370FA" w:rsidRPr="00B7704E" w:rsidRDefault="007370FA" w:rsidP="00E04A77">
      <w:pPr>
        <w:jc w:val="both"/>
        <w:rPr>
          <w:rFonts w:ascii="Calibri" w:hAnsi="Calibri" w:cs="Times New Roman"/>
          <w:b/>
          <w:sz w:val="24"/>
          <w:szCs w:val="24"/>
        </w:rPr>
      </w:pPr>
      <w:r w:rsidRPr="00B7704E">
        <w:rPr>
          <w:rFonts w:ascii="Calibri" w:hAnsi="Calibri" w:cs="Times New Roman"/>
          <w:b/>
          <w:sz w:val="24"/>
          <w:szCs w:val="24"/>
        </w:rPr>
        <w:t>V této souvislosti upozorňujeme zaměstnance v</w:t>
      </w:r>
      <w:r w:rsidR="00E8316A" w:rsidRPr="00B7704E">
        <w:rPr>
          <w:rFonts w:ascii="Calibri" w:hAnsi="Calibri" w:cs="Times New Roman"/>
          <w:b/>
          <w:sz w:val="24"/>
          <w:szCs w:val="24"/>
        </w:rPr>
        <w:t> </w:t>
      </w:r>
      <w:r w:rsidRPr="00B7704E">
        <w:rPr>
          <w:rFonts w:ascii="Calibri" w:hAnsi="Calibri" w:cs="Times New Roman"/>
          <w:b/>
          <w:sz w:val="24"/>
          <w:szCs w:val="24"/>
        </w:rPr>
        <w:t>povolání</w:t>
      </w:r>
      <w:r w:rsidR="00E8316A" w:rsidRPr="00B7704E">
        <w:rPr>
          <w:rFonts w:ascii="Calibri" w:hAnsi="Calibri" w:cs="Times New Roman"/>
          <w:b/>
          <w:sz w:val="24"/>
          <w:szCs w:val="24"/>
        </w:rPr>
        <w:t xml:space="preserve"> osobní pokladník, že se podařila dohodnout se zaměstnavatelem </w:t>
      </w:r>
      <w:r w:rsidR="00E04A77" w:rsidRPr="00B7704E">
        <w:rPr>
          <w:rFonts w:ascii="Calibri" w:hAnsi="Calibri" w:cs="Times New Roman"/>
          <w:b/>
          <w:sz w:val="24"/>
          <w:szCs w:val="24"/>
        </w:rPr>
        <w:t>určitá forma</w:t>
      </w:r>
      <w:r w:rsidR="00E8316A" w:rsidRPr="00B7704E">
        <w:rPr>
          <w:rFonts w:ascii="Calibri" w:hAnsi="Calibri" w:cs="Times New Roman"/>
          <w:b/>
          <w:sz w:val="24"/>
          <w:szCs w:val="24"/>
        </w:rPr>
        <w:t xml:space="preserve"> kondičních pobytů </w:t>
      </w:r>
      <w:r w:rsidR="00E04A77" w:rsidRPr="00B7704E">
        <w:rPr>
          <w:rFonts w:ascii="Calibri" w:hAnsi="Calibri" w:cs="Times New Roman"/>
          <w:b/>
          <w:sz w:val="24"/>
          <w:szCs w:val="24"/>
        </w:rPr>
        <w:t xml:space="preserve">pro toto povolání. Celý postup je upraven v Zásadách </w:t>
      </w:r>
      <w:r w:rsidR="00C47E95" w:rsidRPr="00B7704E">
        <w:rPr>
          <w:rFonts w:ascii="Calibri" w:hAnsi="Calibri" w:cs="Times New Roman"/>
          <w:b/>
          <w:i/>
          <w:sz w:val="24"/>
          <w:szCs w:val="24"/>
        </w:rPr>
        <w:t xml:space="preserve">beze změn </w:t>
      </w:r>
      <w:r w:rsidR="00E04A77" w:rsidRPr="00B7704E">
        <w:rPr>
          <w:rFonts w:ascii="Calibri" w:hAnsi="Calibri" w:cs="Times New Roman"/>
          <w:b/>
          <w:sz w:val="24"/>
          <w:szCs w:val="24"/>
        </w:rPr>
        <w:t>SF ČD pro rok 2017 (bod 6.3. písm. d).</w:t>
      </w:r>
    </w:p>
    <w:p w:rsidR="00C47E95" w:rsidRDefault="00EE41A9" w:rsidP="00BC6A93">
      <w:pPr>
        <w:rPr>
          <w:rFonts w:ascii="Calibri" w:hAnsi="Calibri" w:cs="Times New Roman"/>
          <w:b/>
          <w:i/>
          <w:sz w:val="24"/>
          <w:szCs w:val="24"/>
        </w:rPr>
      </w:pPr>
      <w:r w:rsidRPr="00B7704E">
        <w:rPr>
          <w:rFonts w:ascii="Calibri" w:hAnsi="Calibri" w:cs="Times New Roman"/>
          <w:b/>
          <w:i/>
          <w:sz w:val="24"/>
          <w:szCs w:val="24"/>
        </w:rPr>
        <w:t xml:space="preserve">Příloha 5 </w:t>
      </w:r>
    </w:p>
    <w:p w:rsidR="00EE41A9" w:rsidRPr="00B7704E" w:rsidRDefault="00C47E95" w:rsidP="00BC6A93">
      <w:pPr>
        <w:rPr>
          <w:rFonts w:ascii="Calibri" w:hAnsi="Calibri" w:cs="Times New Roman"/>
          <w:b/>
          <w:i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Stejné jako v roce 2016</w:t>
      </w:r>
    </w:p>
    <w:p w:rsidR="00BC6A93" w:rsidRPr="00B7704E" w:rsidRDefault="00EE41A9" w:rsidP="00BC6A93">
      <w:pPr>
        <w:rPr>
          <w:rFonts w:ascii="Calibri" w:hAnsi="Calibri" w:cs="Times New Roman"/>
          <w:i/>
          <w:sz w:val="24"/>
          <w:szCs w:val="24"/>
        </w:rPr>
      </w:pPr>
      <w:r w:rsidRPr="00B7704E">
        <w:rPr>
          <w:rFonts w:ascii="Calibri" w:hAnsi="Calibri" w:cs="Times New Roman"/>
          <w:b/>
          <w:i/>
          <w:sz w:val="24"/>
          <w:szCs w:val="24"/>
        </w:rPr>
        <w:t xml:space="preserve">Příloha 6 </w:t>
      </w:r>
      <w:r w:rsidRPr="00B7704E">
        <w:rPr>
          <w:rFonts w:ascii="Calibri" w:hAnsi="Calibri" w:cs="Times New Roman"/>
          <w:i/>
          <w:sz w:val="24"/>
          <w:szCs w:val="24"/>
        </w:rPr>
        <w:t xml:space="preserve">(odměny za zabránění úniku tržeb) </w:t>
      </w:r>
    </w:p>
    <w:p w:rsidR="00E04A77" w:rsidRPr="00B7704E" w:rsidRDefault="00E04A77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Došlo k drobným změnám – viz PKS</w:t>
      </w:r>
    </w:p>
    <w:p w:rsidR="00E04A77" w:rsidRPr="00B7704E" w:rsidRDefault="00EE41A9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b/>
          <w:i/>
          <w:sz w:val="24"/>
          <w:szCs w:val="24"/>
        </w:rPr>
        <w:t xml:space="preserve">Příloha 7 </w:t>
      </w:r>
      <w:r w:rsidRPr="00B7704E">
        <w:rPr>
          <w:rFonts w:ascii="Calibri" w:hAnsi="Calibri" w:cs="Times New Roman"/>
          <w:i/>
          <w:sz w:val="24"/>
          <w:szCs w:val="24"/>
        </w:rPr>
        <w:t>(Stanovení délky doby započitatelné praxe)</w:t>
      </w:r>
      <w:r w:rsidR="00E04A77" w:rsidRPr="00B7704E">
        <w:rPr>
          <w:rFonts w:ascii="Calibri" w:hAnsi="Calibri" w:cs="Times New Roman"/>
          <w:sz w:val="24"/>
          <w:szCs w:val="24"/>
        </w:rPr>
        <w:t xml:space="preserve">        </w:t>
      </w:r>
    </w:p>
    <w:p w:rsidR="00EE41A9" w:rsidRPr="00B7704E" w:rsidRDefault="00E04A77" w:rsidP="00BC6A93">
      <w:pPr>
        <w:rPr>
          <w:rFonts w:ascii="Calibri" w:hAnsi="Calibri" w:cs="Times New Roman"/>
          <w:i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Stejné jako v roce 2016</w:t>
      </w:r>
    </w:p>
    <w:p w:rsidR="00C47E95" w:rsidRDefault="00F90868" w:rsidP="00C47E95">
      <w:pPr>
        <w:rPr>
          <w:rFonts w:ascii="Calibri" w:hAnsi="Calibri" w:cs="Times New Roman"/>
          <w:b/>
          <w:i/>
          <w:sz w:val="24"/>
          <w:szCs w:val="24"/>
        </w:rPr>
      </w:pPr>
      <w:r w:rsidRPr="00B7704E">
        <w:rPr>
          <w:rFonts w:ascii="Calibri" w:hAnsi="Calibri" w:cs="Times New Roman"/>
          <w:b/>
          <w:i/>
          <w:sz w:val="24"/>
          <w:szCs w:val="24"/>
        </w:rPr>
        <w:t>Příloha 8 a 9</w:t>
      </w:r>
    </w:p>
    <w:p w:rsidR="00C47E95" w:rsidRPr="00B7704E" w:rsidRDefault="00C47E95" w:rsidP="00C47E95">
      <w:pPr>
        <w:rPr>
          <w:rFonts w:ascii="Calibri" w:hAnsi="Calibri" w:cs="Times New Roman"/>
          <w:i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Stejné jako v roce 2016</w:t>
      </w:r>
    </w:p>
    <w:p w:rsidR="00FC7918" w:rsidRDefault="00FC7918" w:rsidP="00F90868">
      <w:pPr>
        <w:rPr>
          <w:rFonts w:ascii="Calibri" w:hAnsi="Calibri" w:cs="Times New Roman"/>
          <w:b/>
          <w:sz w:val="24"/>
          <w:szCs w:val="24"/>
          <w:u w:val="single"/>
        </w:rPr>
      </w:pPr>
    </w:p>
    <w:p w:rsidR="00FC7918" w:rsidRPr="00B7704E" w:rsidRDefault="00FC7918" w:rsidP="00F90868">
      <w:pPr>
        <w:rPr>
          <w:rFonts w:ascii="Calibri" w:hAnsi="Calibri" w:cs="Times New Roman"/>
          <w:b/>
          <w:sz w:val="24"/>
          <w:szCs w:val="24"/>
          <w:u w:val="single"/>
        </w:rPr>
      </w:pPr>
      <w:r w:rsidRPr="00B7704E">
        <w:rPr>
          <w:rFonts w:ascii="Calibri" w:hAnsi="Calibri" w:cs="Times New Roman"/>
          <w:b/>
          <w:sz w:val="24"/>
          <w:szCs w:val="24"/>
          <w:u w:val="single"/>
        </w:rPr>
        <w:t>Závěr:</w:t>
      </w:r>
    </w:p>
    <w:p w:rsidR="00850298" w:rsidRPr="00B7704E" w:rsidRDefault="00F90868" w:rsidP="00F90868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>Výše uvedený text považujte za jakýsi stručný průvodce novou kolektivní smlouvou ČD, a.s. na rok 201</w:t>
      </w:r>
      <w:r w:rsidR="00E04A77" w:rsidRPr="00B7704E">
        <w:rPr>
          <w:rFonts w:ascii="Calibri" w:hAnsi="Calibri" w:cs="Times New Roman"/>
          <w:sz w:val="24"/>
          <w:szCs w:val="24"/>
        </w:rPr>
        <w:t>7</w:t>
      </w:r>
      <w:r w:rsidRPr="00B7704E">
        <w:rPr>
          <w:rFonts w:ascii="Calibri" w:hAnsi="Calibri" w:cs="Times New Roman"/>
          <w:sz w:val="24"/>
          <w:szCs w:val="24"/>
        </w:rPr>
        <w:t xml:space="preserve">. Celá PKS má více než 100 stran formátu A5 a je potřeba u každého ustanovení přečíst celý text, aby nedocházelo k nesprávným nebo účelovým výkladům. </w:t>
      </w:r>
    </w:p>
    <w:p w:rsidR="00850298" w:rsidRDefault="00F90868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EE41A9" w:rsidRPr="00B7704E" w:rsidRDefault="00850298" w:rsidP="00BC6A93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90868" w:rsidRPr="00B7704E">
        <w:rPr>
          <w:rFonts w:ascii="Calibri" w:hAnsi="Calibri" w:cs="Times New Roman"/>
          <w:sz w:val="24"/>
          <w:szCs w:val="24"/>
        </w:rPr>
        <w:t xml:space="preserve">      Vladislav Vokoun</w:t>
      </w:r>
    </w:p>
    <w:p w:rsidR="00F90868" w:rsidRPr="00B7704E" w:rsidRDefault="00F90868" w:rsidP="00BC6A93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      Předseda PV OSŽ při ČD, a.s. </w:t>
      </w:r>
    </w:p>
    <w:sectPr w:rsidR="00F90868" w:rsidRPr="00B7704E" w:rsidSect="00850298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82" w:rsidRDefault="003E4F82" w:rsidP="00C47E95">
      <w:pPr>
        <w:spacing w:after="0" w:line="240" w:lineRule="auto"/>
      </w:pPr>
      <w:r>
        <w:separator/>
      </w:r>
    </w:p>
  </w:endnote>
  <w:endnote w:type="continuationSeparator" w:id="0">
    <w:p w:rsidR="003E4F82" w:rsidRDefault="003E4F82" w:rsidP="00C4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D Fed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592246"/>
      <w:docPartObj>
        <w:docPartGallery w:val="Page Numbers (Bottom of Page)"/>
        <w:docPartUnique/>
      </w:docPartObj>
    </w:sdtPr>
    <w:sdtContent>
      <w:p w:rsidR="00850298" w:rsidRDefault="008502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931">
          <w:rPr>
            <w:noProof/>
          </w:rPr>
          <w:t>5</w:t>
        </w:r>
        <w:r>
          <w:fldChar w:fldCharType="end"/>
        </w:r>
      </w:p>
    </w:sdtContent>
  </w:sdt>
  <w:p w:rsidR="00850298" w:rsidRDefault="008502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82" w:rsidRDefault="003E4F82" w:rsidP="00C47E95">
      <w:pPr>
        <w:spacing w:after="0" w:line="240" w:lineRule="auto"/>
      </w:pPr>
      <w:r>
        <w:separator/>
      </w:r>
    </w:p>
  </w:footnote>
  <w:footnote w:type="continuationSeparator" w:id="0">
    <w:p w:rsidR="003E4F82" w:rsidRDefault="003E4F82" w:rsidP="00C4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95" w:rsidRDefault="00C47E95" w:rsidP="00C47E95">
    <w:pPr>
      <w:pStyle w:val="Zhlav"/>
    </w:pPr>
    <w:r>
      <w:t xml:space="preserve">Stručný obsah PKS ČD, a.s. na rok 2017 </w:t>
    </w:r>
  </w:p>
  <w:p w:rsidR="00C47E95" w:rsidRDefault="00C47E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95" w:rsidRDefault="00C47E95">
    <w:pPr>
      <w:pStyle w:val="Zhlav"/>
    </w:pPr>
    <w:r>
      <w:t xml:space="preserve">Stručný obsah PKS ČD, a.s. na rok 2017 </w:t>
    </w:r>
  </w:p>
  <w:p w:rsidR="00C47E95" w:rsidRDefault="00C47E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D0BCF"/>
    <w:multiLevelType w:val="hybridMultilevel"/>
    <w:tmpl w:val="AAEA708E"/>
    <w:lvl w:ilvl="0" w:tplc="4008EBDA">
      <w:start w:val="7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1ECE69F0"/>
    <w:multiLevelType w:val="hybridMultilevel"/>
    <w:tmpl w:val="4F90D5E0"/>
    <w:lvl w:ilvl="0" w:tplc="B81203E2">
      <w:start w:val="7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219C201A"/>
    <w:multiLevelType w:val="hybridMultilevel"/>
    <w:tmpl w:val="8DA20C70"/>
    <w:lvl w:ilvl="0" w:tplc="8B48E906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59630C9"/>
    <w:multiLevelType w:val="hybridMultilevel"/>
    <w:tmpl w:val="A564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80580"/>
    <w:multiLevelType w:val="hybridMultilevel"/>
    <w:tmpl w:val="E1D4FF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B42F9"/>
    <w:multiLevelType w:val="hybridMultilevel"/>
    <w:tmpl w:val="02DABF46"/>
    <w:lvl w:ilvl="0" w:tplc="5CE66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23864"/>
    <w:multiLevelType w:val="hybridMultilevel"/>
    <w:tmpl w:val="3C82D546"/>
    <w:lvl w:ilvl="0" w:tplc="5CE66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E6CDF"/>
    <w:multiLevelType w:val="hybridMultilevel"/>
    <w:tmpl w:val="F50E9C08"/>
    <w:lvl w:ilvl="0" w:tplc="5CE66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81AFF"/>
    <w:multiLevelType w:val="hybridMultilevel"/>
    <w:tmpl w:val="DB5C0F60"/>
    <w:lvl w:ilvl="0" w:tplc="5CE66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61BC8"/>
    <w:multiLevelType w:val="hybridMultilevel"/>
    <w:tmpl w:val="1C7E8A02"/>
    <w:lvl w:ilvl="0" w:tplc="5CE66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94962"/>
    <w:multiLevelType w:val="hybridMultilevel"/>
    <w:tmpl w:val="EB8E3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DF"/>
    <w:rsid w:val="000C1E13"/>
    <w:rsid w:val="000D7931"/>
    <w:rsid w:val="000D79C8"/>
    <w:rsid w:val="001374BE"/>
    <w:rsid w:val="00162D58"/>
    <w:rsid w:val="00180C59"/>
    <w:rsid w:val="0018318F"/>
    <w:rsid w:val="001916BF"/>
    <w:rsid w:val="001B2772"/>
    <w:rsid w:val="001C079D"/>
    <w:rsid w:val="001D26A8"/>
    <w:rsid w:val="0021159C"/>
    <w:rsid w:val="002238E8"/>
    <w:rsid w:val="00224080"/>
    <w:rsid w:val="002A6941"/>
    <w:rsid w:val="002A7CA2"/>
    <w:rsid w:val="002E4007"/>
    <w:rsid w:val="00312864"/>
    <w:rsid w:val="003E4F82"/>
    <w:rsid w:val="003F6EE4"/>
    <w:rsid w:val="00406168"/>
    <w:rsid w:val="004223F4"/>
    <w:rsid w:val="00432582"/>
    <w:rsid w:val="00463CE3"/>
    <w:rsid w:val="004713BD"/>
    <w:rsid w:val="0057504D"/>
    <w:rsid w:val="00581DA3"/>
    <w:rsid w:val="005E6036"/>
    <w:rsid w:val="00632E70"/>
    <w:rsid w:val="006870E3"/>
    <w:rsid w:val="006B63BE"/>
    <w:rsid w:val="006C6DAD"/>
    <w:rsid w:val="006F32EA"/>
    <w:rsid w:val="007066AC"/>
    <w:rsid w:val="00715961"/>
    <w:rsid w:val="007370FA"/>
    <w:rsid w:val="00740D3A"/>
    <w:rsid w:val="00760554"/>
    <w:rsid w:val="00772473"/>
    <w:rsid w:val="007B5BFA"/>
    <w:rsid w:val="007D265C"/>
    <w:rsid w:val="007F59C2"/>
    <w:rsid w:val="00850298"/>
    <w:rsid w:val="0093419E"/>
    <w:rsid w:val="00957968"/>
    <w:rsid w:val="00964954"/>
    <w:rsid w:val="009731BD"/>
    <w:rsid w:val="00986799"/>
    <w:rsid w:val="009940CD"/>
    <w:rsid w:val="009B1688"/>
    <w:rsid w:val="009F6C67"/>
    <w:rsid w:val="00AC1EB3"/>
    <w:rsid w:val="00AC3986"/>
    <w:rsid w:val="00AC70D5"/>
    <w:rsid w:val="00B5393E"/>
    <w:rsid w:val="00B63F43"/>
    <w:rsid w:val="00B7704E"/>
    <w:rsid w:val="00B87246"/>
    <w:rsid w:val="00B9086E"/>
    <w:rsid w:val="00BC6A93"/>
    <w:rsid w:val="00BD31C9"/>
    <w:rsid w:val="00C47E95"/>
    <w:rsid w:val="00C70787"/>
    <w:rsid w:val="00D20A2E"/>
    <w:rsid w:val="00D44F08"/>
    <w:rsid w:val="00D62B7B"/>
    <w:rsid w:val="00D925DF"/>
    <w:rsid w:val="00DD7039"/>
    <w:rsid w:val="00DF1DFF"/>
    <w:rsid w:val="00E04A77"/>
    <w:rsid w:val="00E04FE5"/>
    <w:rsid w:val="00E22255"/>
    <w:rsid w:val="00E8316A"/>
    <w:rsid w:val="00EA283F"/>
    <w:rsid w:val="00EE41A9"/>
    <w:rsid w:val="00F90868"/>
    <w:rsid w:val="00FA6487"/>
    <w:rsid w:val="00FC7918"/>
    <w:rsid w:val="00FF11E2"/>
    <w:rsid w:val="00FF13E1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0E38E0-CCEE-472E-935E-621CEDB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7968"/>
    <w:pPr>
      <w:ind w:left="720"/>
      <w:contextualSpacing/>
    </w:pPr>
  </w:style>
  <w:style w:type="paragraph" w:customStyle="1" w:styleId="Default">
    <w:name w:val="Default"/>
    <w:rsid w:val="007066AC"/>
    <w:pPr>
      <w:autoSpaceDE w:val="0"/>
      <w:autoSpaceDN w:val="0"/>
      <w:adjustRightInd w:val="0"/>
      <w:spacing w:after="0" w:line="240" w:lineRule="auto"/>
    </w:pPr>
    <w:rPr>
      <w:rFonts w:ascii="CD Fedra" w:hAnsi="CD Fedra" w:cs="CD Fedr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3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4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E95"/>
  </w:style>
  <w:style w:type="paragraph" w:styleId="Zpat">
    <w:name w:val="footer"/>
    <w:basedOn w:val="Normln"/>
    <w:link w:val="ZpatChar"/>
    <w:uiPriority w:val="99"/>
    <w:unhideWhenUsed/>
    <w:rsid w:val="00C4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8BF4-C5E8-4CAA-9476-FB724BC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1395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Vokoun</dc:creator>
  <cp:keywords/>
  <dc:description/>
  <cp:lastModifiedBy>Vokoun</cp:lastModifiedBy>
  <cp:revision>8</cp:revision>
  <cp:lastPrinted>2017-01-02T13:27:00Z</cp:lastPrinted>
  <dcterms:created xsi:type="dcterms:W3CDTF">2017-01-02T08:49:00Z</dcterms:created>
  <dcterms:modified xsi:type="dcterms:W3CDTF">2017-01-02T14:12:00Z</dcterms:modified>
</cp:coreProperties>
</file>